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DE9" w:rsidRDefault="001A0DE9" w:rsidP="001A0DE9">
      <w:pPr>
        <w:spacing w:after="240"/>
        <w:jc w:val="center"/>
        <w:rPr>
          <w:b/>
          <w:bCs/>
          <w:sz w:val="22"/>
          <w:szCs w:val="26"/>
        </w:rPr>
      </w:pPr>
      <w:r>
        <w:rPr>
          <w:b/>
          <w:bCs/>
          <w:sz w:val="22"/>
          <w:szCs w:val="26"/>
        </w:rPr>
        <w:t>Сообщение о существенном факте</w:t>
      </w:r>
      <w:r>
        <w:rPr>
          <w:b/>
          <w:bCs/>
          <w:sz w:val="22"/>
          <w:szCs w:val="26"/>
        </w:rPr>
        <w:br/>
        <w:t xml:space="preserve">“Сведения об этапах процедуры эмиссии </w:t>
      </w:r>
      <w:r w:rsidR="00E96C4D">
        <w:rPr>
          <w:b/>
          <w:bCs/>
          <w:sz w:val="22"/>
          <w:szCs w:val="26"/>
        </w:rPr>
        <w:t xml:space="preserve">эмиссионных </w:t>
      </w:r>
      <w:r>
        <w:rPr>
          <w:b/>
          <w:bCs/>
          <w:sz w:val="22"/>
          <w:szCs w:val="26"/>
        </w:rPr>
        <w:t>ценных бумаг”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932"/>
        <w:gridCol w:w="4932"/>
      </w:tblGrid>
      <w:tr w:rsidR="001A0DE9" w:rsidRPr="00EA5548" w:rsidTr="001A0DE9">
        <w:tc>
          <w:tcPr>
            <w:tcW w:w="5000" w:type="pct"/>
            <w:gridSpan w:val="2"/>
            <w:tcBorders>
              <w:top w:val="single" w:sz="4" w:space="0" w:color="auto"/>
              <w:left w:val="single" w:sz="4" w:space="0" w:color="auto"/>
              <w:bottom w:val="single" w:sz="4" w:space="0" w:color="auto"/>
              <w:right w:val="single" w:sz="4" w:space="0" w:color="auto"/>
            </w:tcBorders>
          </w:tcPr>
          <w:p w:rsidR="001A0DE9" w:rsidRPr="00EA5548" w:rsidRDefault="001A0DE9" w:rsidP="009700B5">
            <w:pPr>
              <w:jc w:val="center"/>
              <w:rPr>
                <w:sz w:val="22"/>
                <w:szCs w:val="22"/>
              </w:rPr>
            </w:pPr>
            <w:r w:rsidRPr="00EA5548">
              <w:rPr>
                <w:sz w:val="22"/>
                <w:szCs w:val="22"/>
              </w:rPr>
              <w:t>1. Общие сведения</w:t>
            </w:r>
          </w:p>
        </w:tc>
      </w:tr>
      <w:tr w:rsidR="00EF44E0" w:rsidRPr="00EA5548" w:rsidTr="0013634E">
        <w:tc>
          <w:tcPr>
            <w:tcW w:w="2500" w:type="pct"/>
            <w:tcBorders>
              <w:top w:val="single" w:sz="4" w:space="0" w:color="auto"/>
              <w:left w:val="single" w:sz="4" w:space="0" w:color="auto"/>
              <w:bottom w:val="single" w:sz="4" w:space="0" w:color="auto"/>
              <w:right w:val="single" w:sz="4" w:space="0" w:color="auto"/>
            </w:tcBorders>
          </w:tcPr>
          <w:p w:rsidR="00EF44E0" w:rsidRPr="00EA5548" w:rsidRDefault="00EF44E0" w:rsidP="009700B5">
            <w:pPr>
              <w:ind w:left="85" w:right="85"/>
              <w:jc w:val="both"/>
              <w:rPr>
                <w:sz w:val="22"/>
                <w:szCs w:val="22"/>
              </w:rPr>
            </w:pPr>
            <w:r w:rsidRPr="00EA5548">
              <w:rPr>
                <w:sz w:val="22"/>
                <w:szCs w:val="22"/>
              </w:rPr>
              <w:t>1.1. Полное фирменное наименование эмитента</w:t>
            </w:r>
          </w:p>
        </w:tc>
        <w:tc>
          <w:tcPr>
            <w:tcW w:w="2500" w:type="pct"/>
            <w:tcBorders>
              <w:top w:val="single" w:sz="4" w:space="0" w:color="auto"/>
              <w:left w:val="single" w:sz="4" w:space="0" w:color="auto"/>
              <w:bottom w:val="single" w:sz="4" w:space="0" w:color="auto"/>
              <w:right w:val="single" w:sz="4" w:space="0" w:color="auto"/>
            </w:tcBorders>
          </w:tcPr>
          <w:p w:rsidR="00EF44E0" w:rsidRPr="0026374A" w:rsidRDefault="00EF44E0" w:rsidP="00CC251E">
            <w:pPr>
              <w:jc w:val="both"/>
              <w:rPr>
                <w:b/>
                <w:i/>
                <w:sz w:val="22"/>
                <w:szCs w:val="22"/>
              </w:rPr>
            </w:pPr>
            <w:r w:rsidRPr="0026374A">
              <w:rPr>
                <w:b/>
                <w:i/>
                <w:sz w:val="22"/>
                <w:szCs w:val="22"/>
              </w:rPr>
              <w:t>Открытое акционерное общество «ГЕОТЕК Сейсморазведка»</w:t>
            </w:r>
          </w:p>
        </w:tc>
      </w:tr>
      <w:tr w:rsidR="00EF44E0" w:rsidRPr="00EA5548" w:rsidTr="0013634E">
        <w:tc>
          <w:tcPr>
            <w:tcW w:w="2500" w:type="pct"/>
            <w:tcBorders>
              <w:top w:val="single" w:sz="4" w:space="0" w:color="auto"/>
              <w:left w:val="single" w:sz="4" w:space="0" w:color="auto"/>
              <w:bottom w:val="single" w:sz="4" w:space="0" w:color="auto"/>
              <w:right w:val="single" w:sz="4" w:space="0" w:color="auto"/>
            </w:tcBorders>
          </w:tcPr>
          <w:p w:rsidR="00EF44E0" w:rsidRPr="00EA5548" w:rsidRDefault="00EF44E0" w:rsidP="009700B5">
            <w:pPr>
              <w:ind w:left="85" w:right="85"/>
              <w:jc w:val="both"/>
              <w:rPr>
                <w:sz w:val="22"/>
                <w:szCs w:val="22"/>
              </w:rPr>
            </w:pPr>
            <w:r w:rsidRPr="00EA5548">
              <w:rPr>
                <w:sz w:val="22"/>
                <w:szCs w:val="22"/>
              </w:rPr>
              <w:t>1.2. Сокращенное фирменное наименование эмитента</w:t>
            </w:r>
          </w:p>
        </w:tc>
        <w:tc>
          <w:tcPr>
            <w:tcW w:w="2500" w:type="pct"/>
            <w:tcBorders>
              <w:top w:val="single" w:sz="4" w:space="0" w:color="auto"/>
              <w:left w:val="single" w:sz="4" w:space="0" w:color="auto"/>
              <w:bottom w:val="single" w:sz="4" w:space="0" w:color="auto"/>
              <w:right w:val="single" w:sz="4" w:space="0" w:color="auto"/>
            </w:tcBorders>
          </w:tcPr>
          <w:p w:rsidR="00EF44E0" w:rsidRPr="00F83845" w:rsidRDefault="00EF44E0" w:rsidP="00CC251E">
            <w:pPr>
              <w:jc w:val="both"/>
              <w:rPr>
                <w:b/>
                <w:i/>
                <w:sz w:val="22"/>
                <w:szCs w:val="22"/>
              </w:rPr>
            </w:pPr>
            <w:r w:rsidRPr="00F83845">
              <w:rPr>
                <w:b/>
                <w:i/>
                <w:sz w:val="22"/>
                <w:szCs w:val="22"/>
              </w:rPr>
              <w:t>ОАО «ГЕОТЕК Сейсморазведка»</w:t>
            </w:r>
          </w:p>
        </w:tc>
      </w:tr>
      <w:tr w:rsidR="00EF44E0" w:rsidRPr="00EA5548" w:rsidTr="0013634E">
        <w:tc>
          <w:tcPr>
            <w:tcW w:w="2500" w:type="pct"/>
            <w:tcBorders>
              <w:top w:val="single" w:sz="4" w:space="0" w:color="auto"/>
              <w:left w:val="single" w:sz="4" w:space="0" w:color="auto"/>
              <w:bottom w:val="single" w:sz="4" w:space="0" w:color="auto"/>
              <w:right w:val="single" w:sz="4" w:space="0" w:color="auto"/>
            </w:tcBorders>
          </w:tcPr>
          <w:p w:rsidR="00EF44E0" w:rsidRPr="00EA5548" w:rsidRDefault="00EF44E0" w:rsidP="009700B5">
            <w:pPr>
              <w:ind w:left="85" w:right="85"/>
              <w:jc w:val="both"/>
              <w:rPr>
                <w:sz w:val="22"/>
                <w:szCs w:val="22"/>
              </w:rPr>
            </w:pPr>
            <w:r w:rsidRPr="00EA5548">
              <w:rPr>
                <w:sz w:val="22"/>
                <w:szCs w:val="22"/>
              </w:rPr>
              <w:t>1.3. Место нахождения эмитента</w:t>
            </w:r>
          </w:p>
        </w:tc>
        <w:tc>
          <w:tcPr>
            <w:tcW w:w="2500" w:type="pct"/>
            <w:tcBorders>
              <w:top w:val="single" w:sz="4" w:space="0" w:color="auto"/>
              <w:left w:val="single" w:sz="4" w:space="0" w:color="auto"/>
              <w:bottom w:val="single" w:sz="4" w:space="0" w:color="auto"/>
              <w:right w:val="single" w:sz="4" w:space="0" w:color="auto"/>
            </w:tcBorders>
          </w:tcPr>
          <w:p w:rsidR="00EF44E0" w:rsidRPr="00F83845" w:rsidRDefault="00EF44E0" w:rsidP="00CC251E">
            <w:pPr>
              <w:jc w:val="both"/>
              <w:rPr>
                <w:b/>
                <w:i/>
                <w:sz w:val="22"/>
                <w:szCs w:val="22"/>
              </w:rPr>
            </w:pPr>
            <w:proofErr w:type="gramStart"/>
            <w:r w:rsidRPr="0026374A">
              <w:rPr>
                <w:b/>
                <w:i/>
                <w:sz w:val="22"/>
                <w:szCs w:val="22"/>
              </w:rPr>
              <w:t xml:space="preserve">625023, Российская Федерация, Тюменская область, г. Тюмень, ул. </w:t>
            </w:r>
            <w:r w:rsidRPr="00F83845">
              <w:rPr>
                <w:b/>
                <w:i/>
                <w:sz w:val="22"/>
                <w:szCs w:val="22"/>
              </w:rPr>
              <w:t>Республики, д. 173</w:t>
            </w:r>
            <w:proofErr w:type="gramEnd"/>
          </w:p>
        </w:tc>
      </w:tr>
      <w:tr w:rsidR="00EF44E0" w:rsidRPr="00EA5548" w:rsidTr="0013634E">
        <w:tc>
          <w:tcPr>
            <w:tcW w:w="2500" w:type="pct"/>
            <w:tcBorders>
              <w:top w:val="single" w:sz="4" w:space="0" w:color="auto"/>
              <w:left w:val="single" w:sz="4" w:space="0" w:color="auto"/>
              <w:bottom w:val="single" w:sz="4" w:space="0" w:color="auto"/>
              <w:right w:val="single" w:sz="4" w:space="0" w:color="auto"/>
            </w:tcBorders>
          </w:tcPr>
          <w:p w:rsidR="00EF44E0" w:rsidRPr="00EA5548" w:rsidRDefault="00EF44E0" w:rsidP="009700B5">
            <w:pPr>
              <w:ind w:left="85" w:right="85"/>
              <w:jc w:val="both"/>
              <w:rPr>
                <w:sz w:val="22"/>
                <w:szCs w:val="22"/>
              </w:rPr>
            </w:pPr>
            <w:r w:rsidRPr="00EA5548">
              <w:rPr>
                <w:sz w:val="22"/>
                <w:szCs w:val="22"/>
              </w:rPr>
              <w:t>1.4. ОГРН эмитента</w:t>
            </w:r>
          </w:p>
        </w:tc>
        <w:tc>
          <w:tcPr>
            <w:tcW w:w="2500" w:type="pct"/>
            <w:tcBorders>
              <w:top w:val="single" w:sz="4" w:space="0" w:color="auto"/>
              <w:left w:val="single" w:sz="4" w:space="0" w:color="auto"/>
              <w:bottom w:val="single" w:sz="4" w:space="0" w:color="auto"/>
              <w:right w:val="single" w:sz="4" w:space="0" w:color="auto"/>
            </w:tcBorders>
          </w:tcPr>
          <w:p w:rsidR="00EF44E0" w:rsidRPr="00F83845" w:rsidRDefault="00EF44E0" w:rsidP="00CC251E">
            <w:pPr>
              <w:jc w:val="both"/>
              <w:rPr>
                <w:b/>
                <w:i/>
                <w:sz w:val="22"/>
                <w:szCs w:val="22"/>
              </w:rPr>
            </w:pPr>
            <w:r w:rsidRPr="00F83845">
              <w:rPr>
                <w:b/>
                <w:i/>
                <w:sz w:val="22"/>
                <w:szCs w:val="22"/>
              </w:rPr>
              <w:t>1087232016486</w:t>
            </w:r>
          </w:p>
        </w:tc>
      </w:tr>
      <w:tr w:rsidR="00EF44E0" w:rsidRPr="00EA5548" w:rsidTr="0013634E">
        <w:tc>
          <w:tcPr>
            <w:tcW w:w="2500" w:type="pct"/>
            <w:tcBorders>
              <w:top w:val="single" w:sz="4" w:space="0" w:color="auto"/>
              <w:left w:val="single" w:sz="4" w:space="0" w:color="auto"/>
              <w:bottom w:val="single" w:sz="4" w:space="0" w:color="auto"/>
              <w:right w:val="single" w:sz="4" w:space="0" w:color="auto"/>
            </w:tcBorders>
          </w:tcPr>
          <w:p w:rsidR="00EF44E0" w:rsidRPr="00EA5548" w:rsidRDefault="00EF44E0" w:rsidP="009700B5">
            <w:pPr>
              <w:ind w:left="85" w:right="85"/>
              <w:jc w:val="both"/>
              <w:rPr>
                <w:sz w:val="22"/>
                <w:szCs w:val="22"/>
              </w:rPr>
            </w:pPr>
            <w:r w:rsidRPr="00EA5548">
              <w:rPr>
                <w:sz w:val="22"/>
                <w:szCs w:val="22"/>
              </w:rPr>
              <w:t>1.5. ИНН эмитента</w:t>
            </w:r>
          </w:p>
        </w:tc>
        <w:tc>
          <w:tcPr>
            <w:tcW w:w="2500" w:type="pct"/>
            <w:tcBorders>
              <w:top w:val="single" w:sz="4" w:space="0" w:color="auto"/>
              <w:left w:val="single" w:sz="4" w:space="0" w:color="auto"/>
              <w:bottom w:val="single" w:sz="4" w:space="0" w:color="auto"/>
              <w:right w:val="single" w:sz="4" w:space="0" w:color="auto"/>
            </w:tcBorders>
          </w:tcPr>
          <w:p w:rsidR="00EF44E0" w:rsidRPr="00F83845" w:rsidRDefault="00EF44E0" w:rsidP="00CC251E">
            <w:pPr>
              <w:jc w:val="both"/>
              <w:rPr>
                <w:b/>
                <w:i/>
                <w:sz w:val="22"/>
                <w:szCs w:val="22"/>
              </w:rPr>
            </w:pPr>
            <w:r w:rsidRPr="00F83845">
              <w:rPr>
                <w:b/>
                <w:i/>
                <w:sz w:val="22"/>
                <w:szCs w:val="22"/>
              </w:rPr>
              <w:t>7203215460</w:t>
            </w:r>
          </w:p>
        </w:tc>
      </w:tr>
      <w:tr w:rsidR="00EF44E0" w:rsidRPr="00EA5548" w:rsidTr="0013634E">
        <w:tc>
          <w:tcPr>
            <w:tcW w:w="2500" w:type="pct"/>
            <w:tcBorders>
              <w:top w:val="single" w:sz="4" w:space="0" w:color="auto"/>
              <w:left w:val="single" w:sz="4" w:space="0" w:color="auto"/>
              <w:bottom w:val="single" w:sz="4" w:space="0" w:color="auto"/>
              <w:right w:val="single" w:sz="4" w:space="0" w:color="auto"/>
            </w:tcBorders>
          </w:tcPr>
          <w:p w:rsidR="00EF44E0" w:rsidRPr="00EA5548" w:rsidRDefault="00EF44E0" w:rsidP="009700B5">
            <w:pPr>
              <w:ind w:left="85" w:right="85"/>
              <w:jc w:val="both"/>
              <w:rPr>
                <w:sz w:val="22"/>
                <w:szCs w:val="22"/>
              </w:rPr>
            </w:pPr>
            <w:r w:rsidRPr="00EA5548">
              <w:rPr>
                <w:sz w:val="22"/>
                <w:szCs w:val="22"/>
              </w:rPr>
              <w:t>1.6. Уникальный код эмитента, присвоенный регистрирующим органом</w:t>
            </w:r>
          </w:p>
        </w:tc>
        <w:tc>
          <w:tcPr>
            <w:tcW w:w="2500" w:type="pct"/>
            <w:tcBorders>
              <w:top w:val="single" w:sz="4" w:space="0" w:color="auto"/>
              <w:left w:val="single" w:sz="4" w:space="0" w:color="auto"/>
              <w:bottom w:val="single" w:sz="4" w:space="0" w:color="auto"/>
              <w:right w:val="single" w:sz="4" w:space="0" w:color="auto"/>
            </w:tcBorders>
          </w:tcPr>
          <w:p w:rsidR="00EF44E0" w:rsidRPr="00F83845" w:rsidRDefault="00EF44E0" w:rsidP="00CC251E">
            <w:pPr>
              <w:jc w:val="both"/>
              <w:rPr>
                <w:b/>
                <w:i/>
                <w:sz w:val="22"/>
                <w:szCs w:val="22"/>
              </w:rPr>
            </w:pPr>
            <w:r w:rsidRPr="00F83845">
              <w:rPr>
                <w:b/>
                <w:i/>
                <w:sz w:val="22"/>
                <w:szCs w:val="22"/>
              </w:rPr>
              <w:t>55378-Е</w:t>
            </w:r>
          </w:p>
        </w:tc>
      </w:tr>
      <w:tr w:rsidR="00EF44E0" w:rsidRPr="00EA5548" w:rsidTr="0013634E">
        <w:tc>
          <w:tcPr>
            <w:tcW w:w="2500" w:type="pct"/>
            <w:tcBorders>
              <w:top w:val="single" w:sz="4" w:space="0" w:color="auto"/>
              <w:left w:val="single" w:sz="4" w:space="0" w:color="auto"/>
              <w:bottom w:val="single" w:sz="4" w:space="0" w:color="auto"/>
              <w:right w:val="single" w:sz="4" w:space="0" w:color="auto"/>
            </w:tcBorders>
          </w:tcPr>
          <w:p w:rsidR="00EF44E0" w:rsidRPr="00EA5548" w:rsidRDefault="00EF44E0" w:rsidP="009700B5">
            <w:pPr>
              <w:ind w:left="85" w:right="85"/>
              <w:jc w:val="both"/>
              <w:rPr>
                <w:sz w:val="22"/>
                <w:szCs w:val="22"/>
              </w:rPr>
            </w:pPr>
            <w:r w:rsidRPr="00EA5548">
              <w:rPr>
                <w:sz w:val="22"/>
                <w:szCs w:val="22"/>
              </w:rPr>
              <w:t>1.7. Адрес страницы в сети Интернет, используемой эмитентом для раскрытия информации</w:t>
            </w:r>
          </w:p>
        </w:tc>
        <w:tc>
          <w:tcPr>
            <w:tcW w:w="2500" w:type="pct"/>
            <w:tcBorders>
              <w:top w:val="single" w:sz="4" w:space="0" w:color="auto"/>
              <w:left w:val="single" w:sz="4" w:space="0" w:color="auto"/>
              <w:bottom w:val="single" w:sz="4" w:space="0" w:color="auto"/>
              <w:right w:val="single" w:sz="4" w:space="0" w:color="auto"/>
            </w:tcBorders>
          </w:tcPr>
          <w:p w:rsidR="00C5045C" w:rsidRDefault="00D03A00" w:rsidP="00C5045C">
            <w:pPr>
              <w:jc w:val="both"/>
              <w:rPr>
                <w:b/>
                <w:i/>
                <w:sz w:val="19"/>
                <w:szCs w:val="19"/>
              </w:rPr>
            </w:pPr>
            <w:hyperlink r:id="rId7" w:history="1">
              <w:r w:rsidR="00C5045C" w:rsidRPr="00623498">
                <w:rPr>
                  <w:rStyle w:val="a3"/>
                  <w:b/>
                  <w:i/>
                  <w:sz w:val="19"/>
                  <w:szCs w:val="19"/>
                </w:rPr>
                <w:t>http://www.e-disclosure.ru/portal/company.aspx?id=20529</w:t>
              </w:r>
            </w:hyperlink>
            <w:r w:rsidR="00C5045C" w:rsidRPr="00623498">
              <w:rPr>
                <w:b/>
                <w:i/>
                <w:sz w:val="19"/>
                <w:szCs w:val="19"/>
              </w:rPr>
              <w:t>;</w:t>
            </w:r>
          </w:p>
          <w:p w:rsidR="00EF44E0" w:rsidRPr="00EF44E0" w:rsidRDefault="00D03A00" w:rsidP="00C5045C">
            <w:pPr>
              <w:jc w:val="both"/>
              <w:rPr>
                <w:b/>
                <w:i/>
                <w:sz w:val="22"/>
                <w:szCs w:val="22"/>
              </w:rPr>
            </w:pPr>
            <w:hyperlink r:id="rId8" w:history="1">
              <w:r w:rsidR="00C5045C" w:rsidRPr="00623498">
                <w:rPr>
                  <w:rStyle w:val="a3"/>
                  <w:b/>
                  <w:i/>
                  <w:sz w:val="19"/>
                  <w:szCs w:val="19"/>
                  <w:lang w:val="en-US"/>
                </w:rPr>
                <w:t>http</w:t>
              </w:r>
              <w:r w:rsidR="00C5045C" w:rsidRPr="00D97B3B">
                <w:rPr>
                  <w:rStyle w:val="a3"/>
                  <w:b/>
                  <w:i/>
                  <w:sz w:val="19"/>
                  <w:szCs w:val="19"/>
                </w:rPr>
                <w:t>://</w:t>
              </w:r>
              <w:r w:rsidR="00C5045C" w:rsidRPr="00623498">
                <w:rPr>
                  <w:rStyle w:val="a3"/>
                  <w:b/>
                  <w:i/>
                  <w:sz w:val="19"/>
                  <w:szCs w:val="19"/>
                  <w:lang w:val="en-US"/>
                </w:rPr>
                <w:t>www</w:t>
              </w:r>
              <w:r w:rsidR="00C5045C" w:rsidRPr="00D97B3B">
                <w:rPr>
                  <w:rStyle w:val="a3"/>
                  <w:b/>
                  <w:i/>
                  <w:sz w:val="19"/>
                  <w:szCs w:val="19"/>
                </w:rPr>
                <w:t>.</w:t>
              </w:r>
              <w:proofErr w:type="spellStart"/>
              <w:r w:rsidR="00C5045C" w:rsidRPr="00623498">
                <w:rPr>
                  <w:rStyle w:val="a3"/>
                  <w:b/>
                  <w:i/>
                  <w:sz w:val="19"/>
                  <w:szCs w:val="19"/>
                  <w:lang w:val="en-US"/>
                </w:rPr>
                <w:t>gseis</w:t>
              </w:r>
              <w:proofErr w:type="spellEnd"/>
              <w:r w:rsidR="00C5045C" w:rsidRPr="00D97B3B">
                <w:rPr>
                  <w:rStyle w:val="a3"/>
                  <w:b/>
                  <w:i/>
                  <w:sz w:val="19"/>
                  <w:szCs w:val="19"/>
                </w:rPr>
                <w:t>.</w:t>
              </w:r>
              <w:proofErr w:type="spellStart"/>
              <w:r w:rsidR="00C5045C" w:rsidRPr="00623498">
                <w:rPr>
                  <w:rStyle w:val="a3"/>
                  <w:b/>
                  <w:i/>
                  <w:sz w:val="19"/>
                  <w:szCs w:val="19"/>
                  <w:lang w:val="en-US"/>
                </w:rPr>
                <w:t>ru</w:t>
              </w:r>
              <w:proofErr w:type="spellEnd"/>
              <w:r w:rsidR="00C5045C" w:rsidRPr="00D97B3B">
                <w:rPr>
                  <w:rStyle w:val="a3"/>
                  <w:b/>
                  <w:i/>
                  <w:sz w:val="19"/>
                  <w:szCs w:val="19"/>
                </w:rPr>
                <w:t>/</w:t>
              </w:r>
              <w:r w:rsidR="00C5045C" w:rsidRPr="00623498">
                <w:rPr>
                  <w:rStyle w:val="a3"/>
                  <w:b/>
                  <w:i/>
                  <w:sz w:val="19"/>
                  <w:szCs w:val="19"/>
                  <w:lang w:val="en-US"/>
                </w:rPr>
                <w:t>default</w:t>
              </w:r>
              <w:r w:rsidR="00C5045C" w:rsidRPr="00D97B3B">
                <w:rPr>
                  <w:rStyle w:val="a3"/>
                  <w:b/>
                  <w:i/>
                  <w:sz w:val="19"/>
                  <w:szCs w:val="19"/>
                </w:rPr>
                <w:t>.</w:t>
              </w:r>
              <w:proofErr w:type="spellStart"/>
              <w:r w:rsidR="00C5045C" w:rsidRPr="00623498">
                <w:rPr>
                  <w:rStyle w:val="a3"/>
                  <w:b/>
                  <w:i/>
                  <w:sz w:val="19"/>
                  <w:szCs w:val="19"/>
                  <w:lang w:val="en-US"/>
                </w:rPr>
                <w:t>aspx</w:t>
              </w:r>
              <w:proofErr w:type="spellEnd"/>
            </w:hyperlink>
          </w:p>
        </w:tc>
      </w:tr>
    </w:tbl>
    <w:p w:rsidR="001A0DE9" w:rsidRPr="00B90F60" w:rsidRDefault="001A0DE9" w:rsidP="001A0DE9">
      <w:pPr>
        <w:rPr>
          <w:sz w:val="22"/>
          <w:szCs w:val="22"/>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866"/>
      </w:tblGrid>
      <w:tr w:rsidR="001A0DE9" w:rsidRPr="00EA5548" w:rsidTr="002A2996">
        <w:tc>
          <w:tcPr>
            <w:tcW w:w="5000" w:type="pct"/>
            <w:tcBorders>
              <w:top w:val="single" w:sz="4" w:space="0" w:color="auto"/>
              <w:left w:val="single" w:sz="4" w:space="0" w:color="auto"/>
              <w:bottom w:val="single" w:sz="4" w:space="0" w:color="auto"/>
              <w:right w:val="single" w:sz="4" w:space="0" w:color="auto"/>
            </w:tcBorders>
          </w:tcPr>
          <w:p w:rsidR="001A0DE9" w:rsidRPr="00EA5548" w:rsidRDefault="001A0DE9" w:rsidP="009700B5">
            <w:pPr>
              <w:jc w:val="center"/>
              <w:rPr>
                <w:sz w:val="22"/>
                <w:szCs w:val="22"/>
              </w:rPr>
            </w:pPr>
            <w:r w:rsidRPr="00EA5548">
              <w:rPr>
                <w:sz w:val="22"/>
                <w:szCs w:val="22"/>
              </w:rPr>
              <w:t>2. Содержание сообщения</w:t>
            </w:r>
          </w:p>
        </w:tc>
      </w:tr>
      <w:tr w:rsidR="001A0DE9" w:rsidRPr="00EA5548" w:rsidTr="002A2996">
        <w:tc>
          <w:tcPr>
            <w:tcW w:w="5000" w:type="pct"/>
            <w:tcBorders>
              <w:top w:val="single" w:sz="4" w:space="0" w:color="auto"/>
              <w:left w:val="single" w:sz="4" w:space="0" w:color="auto"/>
              <w:bottom w:val="single" w:sz="4" w:space="0" w:color="auto"/>
              <w:right w:val="single" w:sz="4" w:space="0" w:color="auto"/>
            </w:tcBorders>
          </w:tcPr>
          <w:p w:rsidR="001A0DE9" w:rsidRPr="00EA5548" w:rsidRDefault="001A0DE9" w:rsidP="001A0DE9">
            <w:pPr>
              <w:ind w:left="85" w:right="85"/>
              <w:jc w:val="center"/>
              <w:rPr>
                <w:b/>
                <w:bCs/>
                <w:sz w:val="22"/>
                <w:szCs w:val="22"/>
              </w:rPr>
            </w:pPr>
            <w:r w:rsidRPr="00EA5548">
              <w:rPr>
                <w:b/>
                <w:bCs/>
                <w:sz w:val="22"/>
                <w:szCs w:val="22"/>
              </w:rPr>
              <w:t>“</w:t>
            </w:r>
            <w:r>
              <w:rPr>
                <w:b/>
                <w:bCs/>
                <w:sz w:val="22"/>
                <w:szCs w:val="22"/>
              </w:rPr>
              <w:t>О принятии решения о размещении</w:t>
            </w:r>
            <w:r w:rsidR="008966E6">
              <w:rPr>
                <w:b/>
                <w:bCs/>
                <w:sz w:val="22"/>
                <w:szCs w:val="22"/>
              </w:rPr>
              <w:t xml:space="preserve"> ценных бумаг</w:t>
            </w:r>
            <w:r w:rsidRPr="00EA5548">
              <w:rPr>
                <w:b/>
                <w:bCs/>
                <w:sz w:val="22"/>
                <w:szCs w:val="22"/>
              </w:rPr>
              <w:t>”</w:t>
            </w:r>
          </w:p>
        </w:tc>
      </w:tr>
      <w:tr w:rsidR="001A0DE9" w:rsidRPr="00EA5548" w:rsidTr="002A2996">
        <w:tc>
          <w:tcPr>
            <w:tcW w:w="5000" w:type="pct"/>
            <w:tcBorders>
              <w:top w:val="single" w:sz="4" w:space="0" w:color="auto"/>
              <w:left w:val="single" w:sz="4" w:space="0" w:color="auto"/>
              <w:bottom w:val="single" w:sz="4" w:space="0" w:color="auto"/>
              <w:right w:val="single" w:sz="4" w:space="0" w:color="auto"/>
            </w:tcBorders>
          </w:tcPr>
          <w:p w:rsidR="00E95E9A" w:rsidRPr="00EF44E0" w:rsidRDefault="001A0DE9" w:rsidP="004645B5">
            <w:pPr>
              <w:spacing w:before="40" w:after="40"/>
              <w:ind w:left="85" w:right="85" w:firstLine="482"/>
              <w:jc w:val="both"/>
              <w:rPr>
                <w:sz w:val="22"/>
                <w:szCs w:val="22"/>
              </w:rPr>
            </w:pPr>
            <w:r w:rsidRPr="00E95E9A">
              <w:rPr>
                <w:sz w:val="22"/>
                <w:szCs w:val="22"/>
              </w:rPr>
              <w:t>2.</w:t>
            </w:r>
            <w:r w:rsidRPr="00EF44E0">
              <w:rPr>
                <w:sz w:val="22"/>
                <w:szCs w:val="22"/>
              </w:rPr>
              <w:t xml:space="preserve">1. Орган управления эмитента, принявший решение о размещении ценных бумаг, и способ принятия решения: </w:t>
            </w:r>
            <w:r w:rsidRPr="00EF44E0">
              <w:rPr>
                <w:b/>
                <w:i/>
                <w:sz w:val="22"/>
                <w:szCs w:val="22"/>
              </w:rPr>
              <w:t xml:space="preserve">Совет директоров Эмитента; форма проведения заседания: </w:t>
            </w:r>
            <w:r w:rsidR="00E96C4D" w:rsidRPr="00EF44E0">
              <w:rPr>
                <w:b/>
                <w:i/>
                <w:sz w:val="22"/>
                <w:szCs w:val="22"/>
              </w:rPr>
              <w:t>совместное присутствие</w:t>
            </w:r>
            <w:r w:rsidRPr="00EF44E0">
              <w:rPr>
                <w:b/>
                <w:i/>
                <w:sz w:val="22"/>
                <w:szCs w:val="22"/>
              </w:rPr>
              <w:t>.</w:t>
            </w:r>
            <w:r w:rsidRPr="00EF44E0">
              <w:rPr>
                <w:sz w:val="22"/>
                <w:szCs w:val="22"/>
              </w:rPr>
              <w:t xml:space="preserve"> </w:t>
            </w:r>
          </w:p>
          <w:p w:rsidR="002A2996" w:rsidRPr="002A2996" w:rsidRDefault="002A2996" w:rsidP="004645B5">
            <w:pPr>
              <w:ind w:right="85"/>
              <w:jc w:val="both"/>
              <w:rPr>
                <w:b/>
                <w:i/>
                <w:sz w:val="22"/>
                <w:szCs w:val="22"/>
              </w:rPr>
            </w:pPr>
            <w:r>
              <w:rPr>
                <w:sz w:val="22"/>
                <w:szCs w:val="22"/>
              </w:rPr>
              <w:t xml:space="preserve">          </w:t>
            </w:r>
            <w:r w:rsidR="001A0DE9" w:rsidRPr="00EF44E0">
              <w:rPr>
                <w:sz w:val="22"/>
                <w:szCs w:val="22"/>
              </w:rPr>
              <w:t xml:space="preserve">2.2. Дата и место проведения собрания (заседания) уполномоченного органа управления эмитента, на котором принято решение о размещении ценных бумаг: </w:t>
            </w:r>
            <w:r w:rsidR="001A0DE9" w:rsidRPr="00EF44E0">
              <w:rPr>
                <w:b/>
                <w:bCs/>
                <w:i/>
                <w:color w:val="000000"/>
                <w:sz w:val="22"/>
                <w:szCs w:val="22"/>
              </w:rPr>
              <w:t>«</w:t>
            </w:r>
            <w:r w:rsidR="003337CA" w:rsidRPr="00EF44E0">
              <w:rPr>
                <w:b/>
                <w:bCs/>
                <w:i/>
                <w:color w:val="000000"/>
                <w:sz w:val="22"/>
                <w:szCs w:val="22"/>
              </w:rPr>
              <w:t>1</w:t>
            </w:r>
            <w:r w:rsidR="00EF44E0" w:rsidRPr="00EF44E0">
              <w:rPr>
                <w:b/>
                <w:bCs/>
                <w:i/>
                <w:color w:val="000000"/>
                <w:sz w:val="22"/>
                <w:szCs w:val="22"/>
              </w:rPr>
              <w:t>2</w:t>
            </w:r>
            <w:r w:rsidR="001A0DE9" w:rsidRPr="00EF44E0">
              <w:rPr>
                <w:b/>
                <w:bCs/>
                <w:i/>
                <w:color w:val="000000"/>
                <w:sz w:val="22"/>
                <w:szCs w:val="22"/>
              </w:rPr>
              <w:t xml:space="preserve">» </w:t>
            </w:r>
            <w:r w:rsidR="00EF44E0" w:rsidRPr="00EF44E0">
              <w:rPr>
                <w:b/>
                <w:bCs/>
                <w:i/>
                <w:color w:val="000000"/>
                <w:sz w:val="22"/>
                <w:szCs w:val="22"/>
              </w:rPr>
              <w:t>марта</w:t>
            </w:r>
            <w:r w:rsidR="001A0DE9" w:rsidRPr="00EF44E0">
              <w:rPr>
                <w:b/>
                <w:bCs/>
                <w:i/>
                <w:color w:val="000000"/>
                <w:sz w:val="22"/>
                <w:szCs w:val="22"/>
              </w:rPr>
              <w:t xml:space="preserve"> 201</w:t>
            </w:r>
            <w:r w:rsidR="00EF44E0" w:rsidRPr="00EF44E0">
              <w:rPr>
                <w:b/>
                <w:bCs/>
                <w:i/>
                <w:color w:val="000000"/>
                <w:sz w:val="22"/>
                <w:szCs w:val="22"/>
              </w:rPr>
              <w:t>4</w:t>
            </w:r>
            <w:r w:rsidR="001A0DE9" w:rsidRPr="00EF44E0">
              <w:rPr>
                <w:b/>
                <w:bCs/>
                <w:i/>
                <w:color w:val="000000"/>
                <w:sz w:val="22"/>
                <w:szCs w:val="22"/>
              </w:rPr>
              <w:t xml:space="preserve"> г.; Место проведения:</w:t>
            </w:r>
            <w:r w:rsidR="001A0DE9" w:rsidRPr="00EF44E0">
              <w:rPr>
                <w:sz w:val="22"/>
                <w:szCs w:val="22"/>
              </w:rPr>
              <w:t xml:space="preserve"> </w:t>
            </w:r>
            <w:r w:rsidRPr="002A2996">
              <w:rPr>
                <w:b/>
                <w:i/>
                <w:sz w:val="22"/>
                <w:szCs w:val="22"/>
              </w:rPr>
              <w:t>г. Москва, Большой Саввинский переулок, дом 11, этаж 9</w:t>
            </w:r>
            <w:r w:rsidR="000D4FB1">
              <w:rPr>
                <w:b/>
                <w:i/>
                <w:sz w:val="22"/>
                <w:szCs w:val="22"/>
              </w:rPr>
              <w:t>.</w:t>
            </w:r>
          </w:p>
          <w:p w:rsidR="00E95E9A" w:rsidRPr="002A2996" w:rsidRDefault="001A0DE9" w:rsidP="004645B5">
            <w:pPr>
              <w:spacing w:before="40" w:after="40"/>
              <w:ind w:left="85" w:right="85" w:firstLine="482"/>
              <w:jc w:val="both"/>
              <w:rPr>
                <w:sz w:val="22"/>
                <w:szCs w:val="22"/>
              </w:rPr>
            </w:pPr>
            <w:r w:rsidRPr="00EF44E0">
              <w:rPr>
                <w:sz w:val="22"/>
                <w:szCs w:val="22"/>
              </w:rPr>
              <w:t xml:space="preserve">2.3. Дата составления и номер протокола собрания (заседания) уполномоченного органа управления эмитента, на котором принято решение о размещении ценных бумаг: </w:t>
            </w:r>
            <w:r w:rsidRPr="00EF44E0">
              <w:rPr>
                <w:b/>
                <w:i/>
                <w:sz w:val="22"/>
                <w:szCs w:val="22"/>
              </w:rPr>
              <w:t xml:space="preserve">Протокол Совета </w:t>
            </w:r>
            <w:proofErr w:type="gramStart"/>
            <w:r w:rsidRPr="00EF44E0">
              <w:rPr>
                <w:b/>
                <w:i/>
                <w:sz w:val="22"/>
                <w:szCs w:val="22"/>
              </w:rPr>
              <w:t xml:space="preserve">директоров </w:t>
            </w:r>
            <w:r w:rsidRPr="002A2996">
              <w:rPr>
                <w:b/>
                <w:i/>
                <w:sz w:val="22"/>
                <w:szCs w:val="22"/>
              </w:rPr>
              <w:t>№</w:t>
            </w:r>
            <w:r w:rsidR="002A2996" w:rsidRPr="002A2996">
              <w:rPr>
                <w:b/>
                <w:i/>
                <w:sz w:val="22"/>
                <w:szCs w:val="22"/>
              </w:rPr>
              <w:t>б</w:t>
            </w:r>
            <w:proofErr w:type="gramEnd"/>
            <w:r w:rsidR="002A2996" w:rsidRPr="002A2996">
              <w:rPr>
                <w:b/>
                <w:i/>
                <w:sz w:val="22"/>
                <w:szCs w:val="22"/>
              </w:rPr>
              <w:t>/н</w:t>
            </w:r>
            <w:r w:rsidRPr="002A2996">
              <w:rPr>
                <w:b/>
                <w:i/>
                <w:sz w:val="22"/>
                <w:szCs w:val="22"/>
              </w:rPr>
              <w:t xml:space="preserve"> от «</w:t>
            </w:r>
            <w:r w:rsidR="002A2996" w:rsidRPr="002A2996">
              <w:rPr>
                <w:b/>
                <w:i/>
                <w:sz w:val="22"/>
                <w:szCs w:val="22"/>
              </w:rPr>
              <w:t>12</w:t>
            </w:r>
            <w:r w:rsidRPr="002A2996">
              <w:rPr>
                <w:b/>
                <w:i/>
                <w:sz w:val="22"/>
                <w:szCs w:val="22"/>
              </w:rPr>
              <w:t xml:space="preserve">» </w:t>
            </w:r>
            <w:r w:rsidR="00EF44E0" w:rsidRPr="002A2996">
              <w:rPr>
                <w:b/>
                <w:i/>
                <w:sz w:val="22"/>
                <w:szCs w:val="22"/>
              </w:rPr>
              <w:t>марта</w:t>
            </w:r>
            <w:r w:rsidRPr="002A2996">
              <w:rPr>
                <w:b/>
                <w:i/>
                <w:sz w:val="22"/>
                <w:szCs w:val="22"/>
              </w:rPr>
              <w:t xml:space="preserve"> 201</w:t>
            </w:r>
            <w:r w:rsidR="00EF44E0" w:rsidRPr="002A2996">
              <w:rPr>
                <w:b/>
                <w:i/>
                <w:sz w:val="22"/>
                <w:szCs w:val="22"/>
              </w:rPr>
              <w:t>4</w:t>
            </w:r>
            <w:r w:rsidRPr="002A2996">
              <w:rPr>
                <w:b/>
                <w:i/>
                <w:sz w:val="22"/>
                <w:szCs w:val="22"/>
              </w:rPr>
              <w:t xml:space="preserve"> г.</w:t>
            </w:r>
          </w:p>
          <w:p w:rsidR="00E96C4D" w:rsidRPr="00EF44E0" w:rsidRDefault="001A0DE9" w:rsidP="004645B5">
            <w:pPr>
              <w:pStyle w:val="a9"/>
              <w:spacing w:after="0"/>
              <w:ind w:left="85" w:right="85" w:firstLine="482"/>
              <w:jc w:val="both"/>
              <w:rPr>
                <w:b/>
                <w:i/>
                <w:sz w:val="22"/>
                <w:szCs w:val="22"/>
              </w:rPr>
            </w:pPr>
            <w:r w:rsidRPr="00EF44E0">
              <w:rPr>
                <w:sz w:val="22"/>
                <w:szCs w:val="22"/>
              </w:rPr>
              <w:t xml:space="preserve">2.4. Кворум и результаты голосования по вопросу о принятии решения о размещении ценных бумаг: </w:t>
            </w:r>
            <w:r w:rsidR="00E96C4D" w:rsidRPr="00EF44E0">
              <w:rPr>
                <w:b/>
                <w:i/>
                <w:sz w:val="22"/>
                <w:szCs w:val="22"/>
              </w:rPr>
              <w:t xml:space="preserve">В заседании Совета директоров Общества приняли участие </w:t>
            </w:r>
            <w:r w:rsidR="003337CA" w:rsidRPr="00EF44E0">
              <w:rPr>
                <w:b/>
                <w:i/>
                <w:sz w:val="22"/>
                <w:szCs w:val="22"/>
              </w:rPr>
              <w:t xml:space="preserve">7 </w:t>
            </w:r>
            <w:r w:rsidR="00E96C4D" w:rsidRPr="00EF44E0">
              <w:rPr>
                <w:b/>
                <w:i/>
                <w:sz w:val="22"/>
                <w:szCs w:val="22"/>
              </w:rPr>
              <w:t>(</w:t>
            </w:r>
            <w:r w:rsidR="003337CA" w:rsidRPr="00EF44E0">
              <w:rPr>
                <w:b/>
                <w:i/>
                <w:sz w:val="22"/>
                <w:szCs w:val="22"/>
              </w:rPr>
              <w:t>семь</w:t>
            </w:r>
            <w:r w:rsidR="00E96C4D" w:rsidRPr="00EF44E0">
              <w:rPr>
                <w:b/>
                <w:i/>
                <w:sz w:val="22"/>
                <w:szCs w:val="22"/>
              </w:rPr>
              <w:t xml:space="preserve">) из </w:t>
            </w:r>
            <w:r w:rsidR="003337CA" w:rsidRPr="00EF44E0">
              <w:rPr>
                <w:b/>
                <w:i/>
                <w:sz w:val="22"/>
                <w:szCs w:val="22"/>
              </w:rPr>
              <w:t>7</w:t>
            </w:r>
            <w:r w:rsidR="00E96C4D" w:rsidRPr="00EF44E0">
              <w:rPr>
                <w:b/>
                <w:i/>
                <w:sz w:val="22"/>
                <w:szCs w:val="22"/>
              </w:rPr>
              <w:t xml:space="preserve"> (</w:t>
            </w:r>
            <w:r w:rsidR="003337CA" w:rsidRPr="00EF44E0">
              <w:rPr>
                <w:b/>
                <w:i/>
                <w:sz w:val="22"/>
                <w:szCs w:val="22"/>
              </w:rPr>
              <w:t>семи</w:t>
            </w:r>
            <w:r w:rsidR="00E96C4D" w:rsidRPr="00EF44E0">
              <w:rPr>
                <w:b/>
                <w:i/>
                <w:sz w:val="22"/>
                <w:szCs w:val="22"/>
              </w:rPr>
              <w:t>) избранных членов Совета директоров Общества. Кворум имеется – 100 % (Сто) процентов. Совет директоров Общества правомочен принимать решения по вопросам повестки дня, отнесенным к его компетенции.</w:t>
            </w:r>
          </w:p>
          <w:p w:rsidR="00E95E9A" w:rsidRPr="00EF44E0" w:rsidRDefault="00E96C4D" w:rsidP="004645B5">
            <w:pPr>
              <w:ind w:left="85" w:right="85" w:firstLine="482"/>
              <w:jc w:val="both"/>
              <w:rPr>
                <w:rStyle w:val="apple-converted-space"/>
                <w:b/>
                <w:i/>
                <w:color w:val="000000"/>
                <w:sz w:val="22"/>
                <w:szCs w:val="22"/>
              </w:rPr>
            </w:pPr>
            <w:r w:rsidRPr="00EF44E0">
              <w:rPr>
                <w:b/>
                <w:i/>
                <w:color w:val="000000"/>
                <w:sz w:val="22"/>
                <w:szCs w:val="22"/>
              </w:rPr>
              <w:t>Результаты голосования – принято единогласно всеми голосовавшими по данному вопросу повестки дня членами Совета директоров.</w:t>
            </w:r>
            <w:r w:rsidRPr="00EF44E0">
              <w:rPr>
                <w:rStyle w:val="apple-converted-space"/>
                <w:b/>
                <w:i/>
                <w:color w:val="000000"/>
                <w:sz w:val="22"/>
                <w:szCs w:val="22"/>
              </w:rPr>
              <w:t> </w:t>
            </w:r>
          </w:p>
          <w:p w:rsidR="004D23F1" w:rsidRPr="00EF44E0" w:rsidRDefault="00E95E9A" w:rsidP="004645B5">
            <w:pPr>
              <w:pStyle w:val="a9"/>
              <w:spacing w:after="0"/>
              <w:ind w:left="85" w:right="85" w:firstLine="482"/>
              <w:jc w:val="both"/>
              <w:rPr>
                <w:b/>
                <w:i/>
                <w:sz w:val="22"/>
                <w:szCs w:val="22"/>
              </w:rPr>
            </w:pPr>
            <w:r w:rsidRPr="00EF44E0">
              <w:rPr>
                <w:b/>
                <w:i/>
                <w:sz w:val="22"/>
                <w:szCs w:val="22"/>
              </w:rPr>
              <w:t xml:space="preserve">«ЗА» - </w:t>
            </w:r>
            <w:r w:rsidR="003337CA" w:rsidRPr="00EF44E0">
              <w:rPr>
                <w:b/>
                <w:i/>
                <w:sz w:val="22"/>
                <w:szCs w:val="22"/>
              </w:rPr>
              <w:t>7</w:t>
            </w:r>
            <w:r w:rsidRPr="00EF44E0">
              <w:rPr>
                <w:b/>
                <w:i/>
                <w:sz w:val="22"/>
                <w:szCs w:val="22"/>
              </w:rPr>
              <w:t xml:space="preserve"> голосов</w:t>
            </w:r>
            <w:r w:rsidR="004D23F1" w:rsidRPr="00EF44E0">
              <w:rPr>
                <w:b/>
                <w:i/>
                <w:sz w:val="22"/>
                <w:szCs w:val="22"/>
              </w:rPr>
              <w:t xml:space="preserve">: </w:t>
            </w:r>
          </w:p>
          <w:p w:rsidR="004D23F1" w:rsidRPr="00EF44E0" w:rsidRDefault="00EF44E0" w:rsidP="004645B5">
            <w:pPr>
              <w:ind w:left="85" w:right="85" w:firstLine="482"/>
              <w:jc w:val="both"/>
              <w:rPr>
                <w:b/>
                <w:i/>
                <w:sz w:val="22"/>
                <w:szCs w:val="22"/>
              </w:rPr>
            </w:pPr>
            <w:r w:rsidRPr="00EF44E0">
              <w:rPr>
                <w:rFonts w:eastAsia="Calibri"/>
                <w:b/>
                <w:bCs/>
                <w:i/>
                <w:iCs/>
                <w:sz w:val="22"/>
                <w:szCs w:val="22"/>
              </w:rPr>
              <w:t>Зарипов Салават Мияссарович</w:t>
            </w:r>
            <w:r w:rsidR="004D23F1" w:rsidRPr="00EF44E0">
              <w:rPr>
                <w:b/>
                <w:i/>
                <w:sz w:val="22"/>
                <w:szCs w:val="22"/>
              </w:rPr>
              <w:t xml:space="preserve">, </w:t>
            </w:r>
          </w:p>
          <w:p w:rsidR="004D23F1" w:rsidRPr="00EF44E0" w:rsidRDefault="00EF44E0" w:rsidP="004645B5">
            <w:pPr>
              <w:ind w:left="85" w:right="85" w:firstLine="482"/>
              <w:jc w:val="both"/>
              <w:rPr>
                <w:b/>
                <w:i/>
                <w:sz w:val="22"/>
                <w:szCs w:val="22"/>
              </w:rPr>
            </w:pPr>
            <w:r w:rsidRPr="00EF44E0">
              <w:rPr>
                <w:rFonts w:eastAsia="Calibri"/>
                <w:b/>
                <w:bCs/>
                <w:i/>
                <w:iCs/>
                <w:sz w:val="22"/>
                <w:szCs w:val="22"/>
              </w:rPr>
              <w:t>Рахматулин Рустам Рашидович</w:t>
            </w:r>
            <w:r w:rsidR="004D23F1" w:rsidRPr="00EF44E0">
              <w:rPr>
                <w:b/>
                <w:i/>
                <w:sz w:val="22"/>
                <w:szCs w:val="22"/>
              </w:rPr>
              <w:t xml:space="preserve">, </w:t>
            </w:r>
          </w:p>
          <w:p w:rsidR="004D23F1" w:rsidRPr="00EF44E0" w:rsidRDefault="00EF44E0" w:rsidP="004645B5">
            <w:pPr>
              <w:ind w:left="85" w:right="85" w:firstLine="482"/>
              <w:jc w:val="both"/>
              <w:rPr>
                <w:b/>
                <w:i/>
                <w:sz w:val="22"/>
                <w:szCs w:val="22"/>
              </w:rPr>
            </w:pPr>
            <w:r w:rsidRPr="00EF44E0">
              <w:rPr>
                <w:rFonts w:eastAsia="Calibri"/>
                <w:b/>
                <w:bCs/>
                <w:i/>
                <w:iCs/>
                <w:sz w:val="22"/>
                <w:szCs w:val="22"/>
              </w:rPr>
              <w:t>Калашников Игорь Юрьевич</w:t>
            </w:r>
            <w:r w:rsidR="004D23F1" w:rsidRPr="00EF44E0">
              <w:rPr>
                <w:b/>
                <w:i/>
                <w:sz w:val="22"/>
                <w:szCs w:val="22"/>
              </w:rPr>
              <w:t xml:space="preserve">, </w:t>
            </w:r>
          </w:p>
          <w:p w:rsidR="004D23F1" w:rsidRPr="00EF44E0" w:rsidRDefault="00EF44E0" w:rsidP="004645B5">
            <w:pPr>
              <w:ind w:left="85" w:right="85" w:firstLine="482"/>
              <w:jc w:val="both"/>
              <w:rPr>
                <w:b/>
                <w:i/>
                <w:sz w:val="22"/>
                <w:szCs w:val="22"/>
              </w:rPr>
            </w:pPr>
            <w:r w:rsidRPr="00EF44E0">
              <w:rPr>
                <w:rFonts w:eastAsia="Calibri"/>
                <w:b/>
                <w:bCs/>
                <w:i/>
                <w:iCs/>
                <w:sz w:val="22"/>
                <w:szCs w:val="22"/>
              </w:rPr>
              <w:t>Козлов Николай Валериевич</w:t>
            </w:r>
            <w:r w:rsidR="004D23F1" w:rsidRPr="00EF44E0">
              <w:rPr>
                <w:b/>
                <w:i/>
                <w:sz w:val="22"/>
                <w:szCs w:val="22"/>
              </w:rPr>
              <w:t xml:space="preserve">, </w:t>
            </w:r>
          </w:p>
          <w:p w:rsidR="004D23F1" w:rsidRPr="00EF44E0" w:rsidRDefault="00EF44E0" w:rsidP="004645B5">
            <w:pPr>
              <w:ind w:left="85" w:right="85" w:firstLine="482"/>
              <w:jc w:val="both"/>
              <w:rPr>
                <w:b/>
                <w:i/>
                <w:sz w:val="22"/>
                <w:szCs w:val="22"/>
              </w:rPr>
            </w:pPr>
            <w:r w:rsidRPr="00EF44E0">
              <w:rPr>
                <w:rFonts w:eastAsia="Calibri"/>
                <w:b/>
                <w:bCs/>
                <w:i/>
                <w:iCs/>
                <w:sz w:val="22"/>
                <w:szCs w:val="22"/>
              </w:rPr>
              <w:t>Петрова Илона Марковна</w:t>
            </w:r>
            <w:r w:rsidR="004D23F1" w:rsidRPr="00EF44E0">
              <w:rPr>
                <w:b/>
                <w:i/>
                <w:sz w:val="22"/>
                <w:szCs w:val="22"/>
              </w:rPr>
              <w:t xml:space="preserve">, </w:t>
            </w:r>
          </w:p>
          <w:p w:rsidR="004D23F1" w:rsidRPr="00EF44E0" w:rsidRDefault="00EF44E0" w:rsidP="004645B5">
            <w:pPr>
              <w:ind w:left="85" w:right="85" w:firstLine="482"/>
              <w:jc w:val="both"/>
              <w:rPr>
                <w:b/>
                <w:i/>
                <w:sz w:val="22"/>
                <w:szCs w:val="22"/>
              </w:rPr>
            </w:pPr>
            <w:r w:rsidRPr="00EF44E0">
              <w:rPr>
                <w:rFonts w:eastAsia="Calibri"/>
                <w:b/>
                <w:bCs/>
                <w:i/>
                <w:iCs/>
                <w:sz w:val="22"/>
                <w:szCs w:val="22"/>
              </w:rPr>
              <w:t>Чередниченко Денис Витальевич</w:t>
            </w:r>
            <w:r w:rsidR="004D23F1" w:rsidRPr="00EF44E0">
              <w:rPr>
                <w:b/>
                <w:i/>
                <w:sz w:val="22"/>
                <w:szCs w:val="22"/>
              </w:rPr>
              <w:t xml:space="preserve">, </w:t>
            </w:r>
          </w:p>
          <w:p w:rsidR="002A2996" w:rsidRDefault="00EF44E0" w:rsidP="004645B5">
            <w:pPr>
              <w:ind w:left="85" w:right="85" w:firstLine="482"/>
              <w:jc w:val="both"/>
              <w:rPr>
                <w:b/>
                <w:i/>
                <w:sz w:val="22"/>
                <w:szCs w:val="22"/>
              </w:rPr>
            </w:pPr>
            <w:r w:rsidRPr="00EF44E0">
              <w:rPr>
                <w:rFonts w:eastAsia="Calibri"/>
                <w:b/>
                <w:bCs/>
                <w:i/>
                <w:iCs/>
                <w:sz w:val="22"/>
                <w:szCs w:val="22"/>
              </w:rPr>
              <w:t>Лукашевич Евгений Владимирович</w:t>
            </w:r>
            <w:r w:rsidR="004D23F1" w:rsidRPr="00EF44E0">
              <w:rPr>
                <w:b/>
                <w:i/>
                <w:sz w:val="22"/>
                <w:szCs w:val="22"/>
              </w:rPr>
              <w:t xml:space="preserve">, </w:t>
            </w:r>
          </w:p>
          <w:p w:rsidR="00E95E9A" w:rsidRPr="00EF44E0" w:rsidRDefault="003337CA" w:rsidP="004645B5">
            <w:pPr>
              <w:ind w:left="85" w:right="85" w:firstLine="482"/>
              <w:jc w:val="both"/>
              <w:rPr>
                <w:b/>
                <w:i/>
                <w:sz w:val="22"/>
                <w:szCs w:val="22"/>
              </w:rPr>
            </w:pPr>
            <w:r w:rsidRPr="00EF44E0">
              <w:rPr>
                <w:b/>
                <w:i/>
                <w:sz w:val="22"/>
                <w:szCs w:val="22"/>
              </w:rPr>
              <w:t xml:space="preserve"> </w:t>
            </w:r>
            <w:r w:rsidR="00E95E9A" w:rsidRPr="00EF44E0">
              <w:rPr>
                <w:b/>
                <w:i/>
                <w:sz w:val="22"/>
                <w:szCs w:val="22"/>
              </w:rPr>
              <w:t>«Против» - 0 голосов.</w:t>
            </w:r>
          </w:p>
          <w:p w:rsidR="00E95E9A" w:rsidRPr="00EF44E0" w:rsidRDefault="00E95E9A" w:rsidP="004645B5">
            <w:pPr>
              <w:ind w:left="85" w:right="85" w:firstLine="482"/>
              <w:jc w:val="both"/>
              <w:rPr>
                <w:b/>
                <w:i/>
                <w:sz w:val="22"/>
                <w:szCs w:val="22"/>
              </w:rPr>
            </w:pPr>
            <w:r w:rsidRPr="00EF44E0">
              <w:rPr>
                <w:b/>
                <w:i/>
                <w:sz w:val="22"/>
                <w:szCs w:val="22"/>
              </w:rPr>
              <w:t>«Воздержался» - 0 голосов.</w:t>
            </w:r>
          </w:p>
          <w:p w:rsidR="00E95E9A" w:rsidRPr="00EF44E0" w:rsidRDefault="001A0DE9" w:rsidP="004645B5">
            <w:pPr>
              <w:spacing w:before="40" w:after="40"/>
              <w:ind w:left="85" w:right="85" w:firstLine="482"/>
              <w:jc w:val="both"/>
              <w:rPr>
                <w:sz w:val="22"/>
                <w:szCs w:val="22"/>
              </w:rPr>
            </w:pPr>
            <w:r w:rsidRPr="00EF44E0">
              <w:rPr>
                <w:sz w:val="22"/>
                <w:szCs w:val="22"/>
              </w:rPr>
              <w:t xml:space="preserve">2.5. Полная формулировка принятого решения о размещении ценных бумаг: </w:t>
            </w:r>
          </w:p>
          <w:p w:rsidR="002A2996" w:rsidRPr="002A2996" w:rsidRDefault="0044468F" w:rsidP="004645B5">
            <w:pPr>
              <w:ind w:right="85"/>
              <w:jc w:val="both"/>
              <w:rPr>
                <w:b/>
                <w:bCs/>
                <w:i/>
                <w:iCs/>
                <w:sz w:val="22"/>
                <w:szCs w:val="22"/>
              </w:rPr>
            </w:pPr>
            <w:proofErr w:type="gramStart"/>
            <w:r w:rsidRPr="002A2996">
              <w:rPr>
                <w:b/>
                <w:i/>
                <w:sz w:val="22"/>
                <w:szCs w:val="22"/>
              </w:rPr>
              <w:t>«</w:t>
            </w:r>
            <w:r w:rsidR="002A2996" w:rsidRPr="002A2996">
              <w:rPr>
                <w:rFonts w:eastAsia="MS Mincho"/>
                <w:b/>
                <w:i/>
                <w:sz w:val="22"/>
                <w:szCs w:val="22"/>
                <w:lang w:eastAsia="zh-CN"/>
              </w:rPr>
              <w:t xml:space="preserve">Разместить </w:t>
            </w:r>
            <w:r w:rsidR="002A2996" w:rsidRPr="002A2996">
              <w:rPr>
                <w:b/>
                <w:bCs/>
                <w:i/>
                <w:iCs/>
                <w:sz w:val="22"/>
                <w:szCs w:val="22"/>
              </w:rPr>
              <w:t xml:space="preserve">процентные неконвертируемые документарные биржевые облигации </w:t>
            </w:r>
            <w:r w:rsidR="002A2996" w:rsidRPr="002A2996">
              <w:rPr>
                <w:b/>
                <w:i/>
                <w:sz w:val="22"/>
                <w:szCs w:val="22"/>
              </w:rPr>
              <w:t xml:space="preserve">Открытого акционерного общества «ГЕОТЕК Сейсморазведка» </w:t>
            </w:r>
            <w:r w:rsidR="002A2996" w:rsidRPr="002A2996">
              <w:rPr>
                <w:b/>
                <w:bCs/>
                <w:i/>
                <w:iCs/>
                <w:sz w:val="22"/>
                <w:szCs w:val="22"/>
              </w:rPr>
              <w:t>на предъявителя с обязательным централизованным хранением серии БО-03 в количестве 3 000 000 (Три миллиона) штук, номинальной стоимостью 1 000 (Одна тысяча) рублей каждая общей номинальной стоимостью 3 000 000 000 (Три миллиарда) рублей со сроком погашения в 1 820-й (Одна тысяча восемьсот двадцатый) день с даты начала размещения</w:t>
            </w:r>
            <w:proofErr w:type="gramEnd"/>
            <w:r w:rsidR="002A2996" w:rsidRPr="002A2996">
              <w:rPr>
                <w:b/>
                <w:bCs/>
                <w:i/>
                <w:iCs/>
                <w:sz w:val="22"/>
                <w:szCs w:val="22"/>
              </w:rPr>
              <w:t xml:space="preserve"> Биржевых облигаций серии БО-03, с возможностью досрочного погашения по требованию владельцев и по усмотрению Эмитента</w:t>
            </w:r>
            <w:r w:rsidR="002A2996" w:rsidRPr="002A2996">
              <w:rPr>
                <w:b/>
                <w:i/>
                <w:sz w:val="22"/>
                <w:szCs w:val="22"/>
              </w:rPr>
              <w:t xml:space="preserve"> (далее по тексту – «Биржевые облигации серии БО-03»), на следующих условиях:</w:t>
            </w:r>
          </w:p>
          <w:p w:rsidR="002A2996" w:rsidRPr="002A2996" w:rsidRDefault="002A2996" w:rsidP="004645B5">
            <w:pPr>
              <w:ind w:right="85"/>
              <w:jc w:val="both"/>
              <w:rPr>
                <w:rFonts w:eastAsia="MS Mincho"/>
                <w:b/>
                <w:i/>
                <w:sz w:val="22"/>
                <w:szCs w:val="22"/>
                <w:lang w:eastAsia="zh-CN"/>
              </w:rPr>
            </w:pPr>
          </w:p>
          <w:p w:rsidR="002A2996" w:rsidRPr="002A2996" w:rsidRDefault="002A2996" w:rsidP="004645B5">
            <w:pPr>
              <w:ind w:right="85"/>
              <w:jc w:val="both"/>
              <w:rPr>
                <w:b/>
                <w:i/>
                <w:sz w:val="22"/>
                <w:szCs w:val="22"/>
              </w:rPr>
            </w:pPr>
            <w:r w:rsidRPr="002A2996">
              <w:rPr>
                <w:b/>
                <w:i/>
                <w:sz w:val="22"/>
                <w:szCs w:val="22"/>
                <w:u w:val="single"/>
              </w:rPr>
              <w:lastRenderedPageBreak/>
              <w:t>1.1. Способ размещения:</w:t>
            </w:r>
            <w:r w:rsidRPr="002A2996">
              <w:rPr>
                <w:b/>
                <w:i/>
                <w:sz w:val="22"/>
                <w:szCs w:val="22"/>
              </w:rPr>
              <w:t xml:space="preserve"> открытая подписка.</w:t>
            </w:r>
          </w:p>
          <w:p w:rsidR="002A2996" w:rsidRPr="002A2996" w:rsidRDefault="002A2996" w:rsidP="004645B5">
            <w:pPr>
              <w:ind w:right="85"/>
              <w:jc w:val="both"/>
              <w:rPr>
                <w:b/>
                <w:i/>
                <w:sz w:val="22"/>
                <w:szCs w:val="22"/>
                <w:u w:val="single"/>
              </w:rPr>
            </w:pPr>
          </w:p>
          <w:p w:rsidR="002A2996" w:rsidRPr="002A2996" w:rsidRDefault="002A2996" w:rsidP="004645B5">
            <w:pPr>
              <w:pStyle w:val="BodyTextbt"/>
              <w:adjustRightInd w:val="0"/>
              <w:ind w:right="85"/>
              <w:rPr>
                <w:rStyle w:val="SUBST"/>
                <w:b/>
                <w:i/>
              </w:rPr>
            </w:pPr>
            <w:r w:rsidRPr="002A2996">
              <w:rPr>
                <w:u w:val="single"/>
              </w:rPr>
              <w:t>1.2. Форма оплаты:</w:t>
            </w:r>
            <w:r w:rsidRPr="002A2996">
              <w:t xml:space="preserve"> </w:t>
            </w:r>
          </w:p>
          <w:p w:rsidR="002A2996" w:rsidRPr="002A2996" w:rsidRDefault="002A2996" w:rsidP="004645B5">
            <w:pPr>
              <w:pStyle w:val="BodyTextbt"/>
              <w:adjustRightInd w:val="0"/>
              <w:ind w:right="85"/>
              <w:rPr>
                <w:rStyle w:val="SUBST"/>
                <w:b/>
                <w:i/>
              </w:rPr>
            </w:pPr>
            <w:r w:rsidRPr="002A2996">
              <w:rPr>
                <w:rStyle w:val="SUBST"/>
                <w:b/>
                <w:i/>
              </w:rPr>
              <w:t>При приобретении Биржевых облигаций серии БО-03 предусмотрена форма оплаты денежными средствами в валюте Российской Федерации в безналичном порядке.</w:t>
            </w:r>
          </w:p>
          <w:p w:rsidR="002A2996" w:rsidRPr="002A2996" w:rsidRDefault="002A2996" w:rsidP="004645B5">
            <w:pPr>
              <w:pStyle w:val="BodyTextbt"/>
              <w:adjustRightInd w:val="0"/>
              <w:ind w:right="85"/>
              <w:rPr>
                <w:rStyle w:val="SUBST"/>
                <w:b/>
                <w:i/>
              </w:rPr>
            </w:pPr>
            <w:r w:rsidRPr="002A2996">
              <w:rPr>
                <w:rStyle w:val="SUBST"/>
                <w:b/>
                <w:i/>
              </w:rPr>
              <w:t>Возможность рассрочки при оплате Биржевых облигаций серии БО-03 не предусмотрена.</w:t>
            </w:r>
          </w:p>
          <w:p w:rsidR="002A2996" w:rsidRPr="002A2996" w:rsidRDefault="002A2996" w:rsidP="004645B5">
            <w:pPr>
              <w:pStyle w:val="11"/>
              <w:spacing w:before="0"/>
              <w:ind w:right="85" w:firstLine="0"/>
              <w:rPr>
                <w:b/>
                <w:i/>
              </w:rPr>
            </w:pPr>
          </w:p>
          <w:p w:rsidR="002A2996" w:rsidRPr="002A2996" w:rsidRDefault="002A2996" w:rsidP="004645B5">
            <w:pPr>
              <w:widowControl w:val="0"/>
              <w:ind w:right="85"/>
              <w:jc w:val="both"/>
              <w:rPr>
                <w:b/>
                <w:i/>
                <w:sz w:val="22"/>
                <w:szCs w:val="22"/>
                <w:u w:val="single"/>
              </w:rPr>
            </w:pPr>
            <w:r w:rsidRPr="002A2996">
              <w:rPr>
                <w:b/>
                <w:i/>
                <w:sz w:val="22"/>
                <w:szCs w:val="22"/>
                <w:u w:val="single"/>
              </w:rPr>
              <w:t>1.3. Цена размещения:</w:t>
            </w:r>
          </w:p>
          <w:p w:rsidR="002A2996" w:rsidRPr="002A2996" w:rsidRDefault="002A2996" w:rsidP="004645B5">
            <w:pPr>
              <w:ind w:right="85"/>
              <w:jc w:val="both"/>
              <w:rPr>
                <w:rStyle w:val="SUBST"/>
                <w:bCs/>
                <w:iCs/>
              </w:rPr>
            </w:pPr>
            <w:r w:rsidRPr="002A2996">
              <w:rPr>
                <w:rStyle w:val="SUBST"/>
              </w:rPr>
              <w:t>Цена размещения Биржевых облигаций серии БО-03 в первый и последующие дни размещения устанавливается в размере 100% (Сто процентов) от номинальной стоимости Биржевых облигаций серии БО-03, что составляет 1 000 (Одну тысячу) рублей за одну Биржевую облигацию серии БО-03.</w:t>
            </w:r>
          </w:p>
          <w:p w:rsidR="002A2996" w:rsidRPr="002A2996" w:rsidRDefault="002A2996" w:rsidP="004645B5">
            <w:pPr>
              <w:ind w:right="85"/>
              <w:jc w:val="both"/>
              <w:rPr>
                <w:rStyle w:val="SUBST"/>
                <w:bCs/>
                <w:iCs/>
              </w:rPr>
            </w:pPr>
            <w:r w:rsidRPr="002A2996">
              <w:rPr>
                <w:rStyle w:val="SUBST"/>
              </w:rPr>
              <w:t>Начиная со второго дня размещения Биржевых облигаций серии БО-03, покупатель при совершении сделки купли-продажи Биржевых облигаций серии БО-03 также уплачивает накопленный купонный доход (НКД) по Биржевым облигациям серии БО-03, определяемый по следующей формуле:</w:t>
            </w:r>
          </w:p>
          <w:p w:rsidR="002A2996" w:rsidRPr="002A2996" w:rsidRDefault="002A2996" w:rsidP="004645B5">
            <w:pPr>
              <w:ind w:right="85"/>
              <w:jc w:val="both"/>
              <w:rPr>
                <w:b/>
                <w:i/>
                <w:lang w:val="de-DE"/>
              </w:rPr>
            </w:pPr>
            <w:r w:rsidRPr="002A2996">
              <w:rPr>
                <w:b/>
                <w:i/>
                <w:sz w:val="22"/>
                <w:szCs w:val="22"/>
              </w:rPr>
              <w:t>НКД</w:t>
            </w:r>
            <w:r w:rsidRPr="002A2996">
              <w:rPr>
                <w:b/>
                <w:i/>
                <w:sz w:val="22"/>
                <w:szCs w:val="22"/>
                <w:lang w:val="de-DE"/>
              </w:rPr>
              <w:t xml:space="preserve"> = </w:t>
            </w:r>
            <w:proofErr w:type="spellStart"/>
            <w:r w:rsidRPr="002A2996">
              <w:rPr>
                <w:b/>
                <w:i/>
                <w:sz w:val="22"/>
                <w:szCs w:val="22"/>
                <w:lang w:val="de-DE"/>
              </w:rPr>
              <w:t>Nom</w:t>
            </w:r>
            <w:proofErr w:type="spellEnd"/>
            <w:r w:rsidRPr="002A2996">
              <w:rPr>
                <w:b/>
                <w:i/>
                <w:sz w:val="22"/>
                <w:szCs w:val="22"/>
                <w:lang w:val="de-DE"/>
              </w:rPr>
              <w:t xml:space="preserve"> * C1 * (T - T0) / 365/ 100%, </w:t>
            </w:r>
            <w:r w:rsidRPr="002A2996">
              <w:rPr>
                <w:b/>
                <w:i/>
                <w:sz w:val="22"/>
                <w:szCs w:val="22"/>
              </w:rPr>
              <w:t>где</w:t>
            </w:r>
          </w:p>
          <w:p w:rsidR="002A2996" w:rsidRPr="002A2996" w:rsidRDefault="002A2996" w:rsidP="004645B5">
            <w:pPr>
              <w:ind w:right="85"/>
              <w:jc w:val="both"/>
              <w:rPr>
                <w:rStyle w:val="SUBST"/>
                <w:bCs/>
                <w:iCs/>
              </w:rPr>
            </w:pPr>
            <w:r w:rsidRPr="002A2996">
              <w:rPr>
                <w:rStyle w:val="SUBST"/>
              </w:rPr>
              <w:t>НКД - накопленный купонный доход, руб.</w:t>
            </w:r>
          </w:p>
          <w:p w:rsidR="002A2996" w:rsidRPr="002A2996" w:rsidRDefault="002A2996" w:rsidP="004645B5">
            <w:pPr>
              <w:ind w:right="85"/>
              <w:jc w:val="both"/>
              <w:rPr>
                <w:rStyle w:val="SUBST"/>
                <w:bCs/>
                <w:iCs/>
              </w:rPr>
            </w:pPr>
            <w:proofErr w:type="spellStart"/>
            <w:r w:rsidRPr="002A2996">
              <w:rPr>
                <w:rStyle w:val="SUBST"/>
              </w:rPr>
              <w:t>Nom</w:t>
            </w:r>
            <w:proofErr w:type="spellEnd"/>
            <w:r w:rsidRPr="002A2996">
              <w:rPr>
                <w:rStyle w:val="SUBST"/>
              </w:rPr>
              <w:t xml:space="preserve"> - номинальная стоимость одной Биржевой облигации серии БО-03, руб.;</w:t>
            </w:r>
          </w:p>
          <w:p w:rsidR="002A2996" w:rsidRPr="002A2996" w:rsidRDefault="002A2996" w:rsidP="004645B5">
            <w:pPr>
              <w:ind w:right="85"/>
              <w:jc w:val="both"/>
              <w:rPr>
                <w:rStyle w:val="SUBST"/>
                <w:bCs/>
                <w:iCs/>
              </w:rPr>
            </w:pPr>
            <w:r w:rsidRPr="002A2996">
              <w:rPr>
                <w:rStyle w:val="SUBST"/>
              </w:rPr>
              <w:t>С</w:t>
            </w:r>
            <w:proofErr w:type="gramStart"/>
            <w:r w:rsidRPr="002A2996">
              <w:rPr>
                <w:rStyle w:val="SUBST"/>
              </w:rPr>
              <w:t>1</w:t>
            </w:r>
            <w:proofErr w:type="gramEnd"/>
            <w:r w:rsidRPr="002A2996">
              <w:rPr>
                <w:rStyle w:val="SUBST"/>
              </w:rPr>
              <w:t xml:space="preserve"> - размер процентной ставки первого купона, в процентах годовых;</w:t>
            </w:r>
          </w:p>
          <w:p w:rsidR="002A2996" w:rsidRPr="002A2996" w:rsidRDefault="002A2996" w:rsidP="004645B5">
            <w:pPr>
              <w:ind w:right="85"/>
              <w:jc w:val="both"/>
              <w:rPr>
                <w:rStyle w:val="SUBST"/>
                <w:bCs/>
                <w:iCs/>
              </w:rPr>
            </w:pPr>
            <w:r w:rsidRPr="002A2996">
              <w:rPr>
                <w:rStyle w:val="SUBST"/>
              </w:rPr>
              <w:t>T - дата размещения Биржевых облигаций серии БО-03;</w:t>
            </w:r>
          </w:p>
          <w:p w:rsidR="002A2996" w:rsidRPr="002A2996" w:rsidRDefault="002A2996" w:rsidP="004645B5">
            <w:pPr>
              <w:ind w:right="85"/>
              <w:jc w:val="both"/>
              <w:rPr>
                <w:rStyle w:val="SUBST"/>
                <w:bCs/>
                <w:iCs/>
              </w:rPr>
            </w:pPr>
            <w:r w:rsidRPr="002A2996">
              <w:rPr>
                <w:rStyle w:val="SUBST"/>
              </w:rPr>
              <w:t>T0 - дата начала размещения Биржевых облигаций серии БО-03.</w:t>
            </w:r>
          </w:p>
          <w:p w:rsidR="002A2996" w:rsidRPr="002A2996" w:rsidRDefault="002A2996" w:rsidP="004645B5">
            <w:pPr>
              <w:ind w:right="85"/>
              <w:jc w:val="both"/>
              <w:rPr>
                <w:rStyle w:val="SUBST"/>
                <w:bCs/>
                <w:iCs/>
              </w:rPr>
            </w:pPr>
            <w:r w:rsidRPr="002A2996">
              <w:rPr>
                <w:rStyle w:val="SUBST"/>
              </w:rPr>
              <w:t xml:space="preserve">Величина накопленного купонного дохода в расчете на одну Биржевую облигацию серии БО-03 определяется с точностью до одной копейки (округление производится по правилам математического округления). При этом под правилом математического округления следует понимать метод округления, при котором значение целой копейки (целых копеек) не изменяется, если первая </w:t>
            </w:r>
            <w:proofErr w:type="gramStart"/>
            <w:r w:rsidRPr="002A2996">
              <w:rPr>
                <w:rStyle w:val="SUBST"/>
              </w:rPr>
              <w:t>за</w:t>
            </w:r>
            <w:proofErr w:type="gramEnd"/>
            <w:r w:rsidRPr="002A2996">
              <w:rPr>
                <w:rStyle w:val="SUBST"/>
              </w:rPr>
              <w:t xml:space="preserve"> округляемой цифра равна от 0 до 4, и изменяется, увеличиваясь на единицу, если первая за округляемой цифра равна 5 - 9.</w:t>
            </w:r>
          </w:p>
          <w:p w:rsidR="002A2996" w:rsidRPr="002A2996" w:rsidRDefault="002A2996" w:rsidP="004645B5">
            <w:pPr>
              <w:ind w:right="85"/>
              <w:jc w:val="both"/>
              <w:rPr>
                <w:b/>
                <w:bCs/>
                <w:i/>
                <w:iCs/>
                <w:spacing w:val="-2"/>
              </w:rPr>
            </w:pPr>
          </w:p>
          <w:p w:rsidR="002A2996" w:rsidRPr="002A2996" w:rsidRDefault="002A2996" w:rsidP="004645B5">
            <w:pPr>
              <w:ind w:right="85"/>
              <w:rPr>
                <w:b/>
                <w:i/>
                <w:sz w:val="22"/>
                <w:szCs w:val="22"/>
                <w:u w:val="single"/>
              </w:rPr>
            </w:pPr>
            <w:r w:rsidRPr="002A2996">
              <w:rPr>
                <w:b/>
                <w:i/>
                <w:sz w:val="22"/>
                <w:szCs w:val="22"/>
                <w:u w:val="single"/>
              </w:rPr>
              <w:t>1.4. Форма, порядок и срок погашения:</w:t>
            </w:r>
          </w:p>
          <w:p w:rsidR="002A2996" w:rsidRPr="002A2996" w:rsidRDefault="002A2996" w:rsidP="004645B5">
            <w:pPr>
              <w:adjustRightInd w:val="0"/>
              <w:ind w:right="85"/>
              <w:jc w:val="both"/>
              <w:rPr>
                <w:rStyle w:val="SUBST"/>
                <w:bCs/>
                <w:iCs/>
              </w:rPr>
            </w:pPr>
            <w:r w:rsidRPr="002A2996">
              <w:rPr>
                <w:rStyle w:val="SUBST"/>
              </w:rPr>
              <w:t>Погашение Биржевых облигаций серии БО-03 производится денежными средствами в валюте Российской Федерации в безналичном порядке. Возможность выбора владельцами Биржевых облигаций серии БО-03 формы погашения Биржевых облигаций серии БО-03 не предусмотрена.</w:t>
            </w:r>
          </w:p>
          <w:p w:rsidR="002A2996" w:rsidRPr="002A2996" w:rsidRDefault="002A2996" w:rsidP="004645B5">
            <w:pPr>
              <w:adjustRightInd w:val="0"/>
              <w:ind w:right="85"/>
              <w:jc w:val="both"/>
              <w:rPr>
                <w:rStyle w:val="SUBST"/>
              </w:rPr>
            </w:pPr>
          </w:p>
          <w:p w:rsidR="002A2996" w:rsidRPr="002A2996" w:rsidRDefault="002A2996" w:rsidP="004645B5">
            <w:pPr>
              <w:adjustRightInd w:val="0"/>
              <w:ind w:right="85"/>
              <w:jc w:val="both"/>
              <w:rPr>
                <w:rStyle w:val="SUBST"/>
              </w:rPr>
            </w:pPr>
            <w:r w:rsidRPr="002A2996">
              <w:rPr>
                <w:rStyle w:val="SUBST"/>
              </w:rPr>
              <w:t>Срок (дата) погашения облигаций или порядок его определения:</w:t>
            </w:r>
          </w:p>
          <w:p w:rsidR="002A2996" w:rsidRPr="002A2996" w:rsidRDefault="002A2996" w:rsidP="004645B5">
            <w:pPr>
              <w:adjustRightInd w:val="0"/>
              <w:ind w:right="85"/>
              <w:jc w:val="both"/>
              <w:rPr>
                <w:rStyle w:val="SUBST"/>
              </w:rPr>
            </w:pPr>
            <w:r w:rsidRPr="002A2996">
              <w:rPr>
                <w:rStyle w:val="SUBST"/>
              </w:rPr>
              <w:t xml:space="preserve">Биржевые облигации серии БО-03 погашаются в 1 820-й (Одна тысяча восемьсот двадцатый) день </w:t>
            </w:r>
            <w:proofErr w:type="gramStart"/>
            <w:r w:rsidRPr="002A2996">
              <w:rPr>
                <w:rStyle w:val="SUBST"/>
              </w:rPr>
              <w:t>с даты начала</w:t>
            </w:r>
            <w:proofErr w:type="gramEnd"/>
            <w:r w:rsidRPr="002A2996">
              <w:rPr>
                <w:rStyle w:val="SUBST"/>
              </w:rPr>
              <w:t xml:space="preserve"> размещения Биржевых облигаций серии БО-03 (далее – «Дата погашения»).</w:t>
            </w:r>
          </w:p>
          <w:p w:rsidR="002A2996" w:rsidRPr="002A2996" w:rsidRDefault="002A2996" w:rsidP="004645B5">
            <w:pPr>
              <w:adjustRightInd w:val="0"/>
              <w:ind w:right="85"/>
              <w:jc w:val="both"/>
              <w:rPr>
                <w:rStyle w:val="SUBST"/>
              </w:rPr>
            </w:pPr>
          </w:p>
          <w:p w:rsidR="002A2996" w:rsidRPr="002A2996" w:rsidRDefault="002A2996" w:rsidP="004645B5">
            <w:pPr>
              <w:adjustRightInd w:val="0"/>
              <w:ind w:right="85"/>
              <w:jc w:val="both"/>
              <w:rPr>
                <w:rStyle w:val="SUBST"/>
              </w:rPr>
            </w:pPr>
            <w:r w:rsidRPr="002A2996">
              <w:rPr>
                <w:rStyle w:val="SUBST"/>
              </w:rPr>
              <w:t>Если Дата погашения Биржевых облигаций серии БО-03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 то перечисление надлежащей суммы производится в первый рабочий день, следующий за нерабочим праздничным или выходным днем. Владелец Биржевых облигаций серии БО-03 не имеет права требовать начисления процентов или какой-либо иной компенсации за такую задержку в платеже.</w:t>
            </w:r>
          </w:p>
          <w:p w:rsidR="002A2996" w:rsidRPr="002A2996" w:rsidRDefault="002A2996" w:rsidP="004645B5">
            <w:pPr>
              <w:adjustRightInd w:val="0"/>
              <w:ind w:right="85"/>
              <w:jc w:val="both"/>
              <w:rPr>
                <w:rStyle w:val="SUBST"/>
              </w:rPr>
            </w:pPr>
            <w:r w:rsidRPr="002A2996">
              <w:rPr>
                <w:rStyle w:val="SUBST"/>
              </w:rPr>
              <w:t>Дата окончания:</w:t>
            </w:r>
          </w:p>
          <w:p w:rsidR="002A2996" w:rsidRPr="002A2996" w:rsidRDefault="002A2996" w:rsidP="004645B5">
            <w:pPr>
              <w:adjustRightInd w:val="0"/>
              <w:ind w:right="85"/>
              <w:jc w:val="both"/>
              <w:rPr>
                <w:rStyle w:val="SUBST"/>
              </w:rPr>
            </w:pPr>
            <w:r w:rsidRPr="002A2996">
              <w:rPr>
                <w:rStyle w:val="SUBST"/>
              </w:rPr>
              <w:t>Даты начала и окончания погашения Биржевых облигаций серии БО-03 совпадают.</w:t>
            </w:r>
          </w:p>
          <w:p w:rsidR="002A2996" w:rsidRPr="002A2996" w:rsidRDefault="002A2996" w:rsidP="004645B5">
            <w:pPr>
              <w:adjustRightInd w:val="0"/>
              <w:ind w:right="85"/>
              <w:jc w:val="both"/>
              <w:rPr>
                <w:rStyle w:val="SUBST"/>
              </w:rPr>
            </w:pPr>
          </w:p>
          <w:p w:rsidR="002A2996" w:rsidRPr="002A2996" w:rsidRDefault="002A2996" w:rsidP="004645B5">
            <w:pPr>
              <w:adjustRightInd w:val="0"/>
              <w:ind w:right="85"/>
              <w:jc w:val="both"/>
              <w:rPr>
                <w:rStyle w:val="SUBST"/>
              </w:rPr>
            </w:pPr>
            <w:r w:rsidRPr="002A2996">
              <w:rPr>
                <w:rStyle w:val="SUBST"/>
              </w:rPr>
              <w:t>Передача выплат при погашении Биржевых облигаций серии БО-03 производится в соответствии с порядком, установленным действующим законодательством Российской Федерации.</w:t>
            </w:r>
          </w:p>
          <w:p w:rsidR="002A2996" w:rsidRPr="002A2996" w:rsidRDefault="002A2996" w:rsidP="004645B5">
            <w:pPr>
              <w:adjustRightInd w:val="0"/>
              <w:ind w:right="85"/>
              <w:jc w:val="both"/>
              <w:rPr>
                <w:rStyle w:val="SUBST"/>
              </w:rPr>
            </w:pPr>
            <w:r w:rsidRPr="002A2996">
              <w:rPr>
                <w:rStyle w:val="SUBST"/>
              </w:rPr>
              <w:t xml:space="preserve"> </w:t>
            </w:r>
          </w:p>
          <w:p w:rsidR="002A2996" w:rsidRPr="002A2996" w:rsidRDefault="002A2996" w:rsidP="004645B5">
            <w:pPr>
              <w:adjustRightInd w:val="0"/>
              <w:ind w:right="85"/>
              <w:jc w:val="both"/>
              <w:rPr>
                <w:rStyle w:val="SUBST"/>
                <w:bCs/>
                <w:iCs/>
              </w:rPr>
            </w:pPr>
            <w:r w:rsidRPr="002A2996">
              <w:rPr>
                <w:rStyle w:val="SUBST"/>
              </w:rPr>
              <w:t xml:space="preserve">Погашение Биржевых облигаций серии БО-03 производится по непогашенной части номинальной стоимости. Непогашенная часть номинальной стоимости определяется как разница между номинальной стоимостью одной Биржевой облигации серии БО-03 и её частью, погашенной при частичном досрочном погашении Биржевых облигаций серии БО-03 (в случае если решение о частичном досрочном погашении принято Эмитентом). </w:t>
            </w:r>
          </w:p>
          <w:p w:rsidR="002A2996" w:rsidRPr="002A2996" w:rsidRDefault="002A2996" w:rsidP="004645B5">
            <w:pPr>
              <w:adjustRightInd w:val="0"/>
              <w:ind w:right="85"/>
              <w:jc w:val="both"/>
              <w:rPr>
                <w:rStyle w:val="SUBST"/>
              </w:rPr>
            </w:pPr>
            <w:r w:rsidRPr="002A2996">
              <w:rPr>
                <w:rStyle w:val="SUBST"/>
              </w:rPr>
              <w:t xml:space="preserve">При погашении Биржевых облигаций серии БО-03 выплачивается также купонный доход за </w:t>
            </w:r>
            <w:r w:rsidRPr="002A2996">
              <w:rPr>
                <w:rStyle w:val="SUBST"/>
              </w:rPr>
              <w:lastRenderedPageBreak/>
              <w:t>последний купонный период.</w:t>
            </w:r>
          </w:p>
          <w:p w:rsidR="002A2996" w:rsidRPr="002A2996" w:rsidRDefault="002A2996" w:rsidP="004645B5">
            <w:pPr>
              <w:ind w:right="85"/>
              <w:jc w:val="both"/>
              <w:rPr>
                <w:b/>
                <w:i/>
                <w:u w:val="single"/>
              </w:rPr>
            </w:pPr>
            <w:r w:rsidRPr="002A2996">
              <w:rPr>
                <w:b/>
                <w:i/>
                <w:sz w:val="22"/>
                <w:szCs w:val="22"/>
                <w:u w:val="single"/>
              </w:rPr>
              <w:t>1.5. Расходы по внесению приходных записей по счетам депо:</w:t>
            </w:r>
          </w:p>
          <w:p w:rsidR="002A2996" w:rsidRPr="002A2996" w:rsidRDefault="002A2996" w:rsidP="004645B5">
            <w:pPr>
              <w:ind w:right="85"/>
              <w:jc w:val="both"/>
              <w:rPr>
                <w:rStyle w:val="SUBST"/>
                <w:bCs/>
              </w:rPr>
            </w:pPr>
            <w:r w:rsidRPr="002A2996">
              <w:rPr>
                <w:rStyle w:val="SUBST"/>
              </w:rPr>
              <w:t>Расходы, связанные с внесением приходных записей о зачислении размещаемых Биржевых облигаций серии БО-03 на счета депо в депозитарии (осуществляющем централизованное хранение Биржевых облигаций серии БО-03) их первых владельцев (приобретателей), несут первые владельцы (приобретатели) Биржевых облигаций серии БО-03.</w:t>
            </w:r>
          </w:p>
          <w:p w:rsidR="002A2996" w:rsidRPr="002A2996" w:rsidRDefault="002A2996" w:rsidP="004645B5">
            <w:pPr>
              <w:pStyle w:val="2"/>
              <w:spacing w:after="0" w:line="240" w:lineRule="auto"/>
              <w:ind w:left="0" w:right="85"/>
              <w:jc w:val="both"/>
              <w:rPr>
                <w:b/>
                <w:bCs/>
                <w:i/>
                <w:highlight w:val="green"/>
              </w:rPr>
            </w:pPr>
          </w:p>
          <w:p w:rsidR="002A2996" w:rsidRPr="002A2996" w:rsidRDefault="002A2996" w:rsidP="004645B5">
            <w:pPr>
              <w:ind w:right="85"/>
              <w:jc w:val="both"/>
              <w:rPr>
                <w:b/>
                <w:i/>
                <w:sz w:val="22"/>
                <w:szCs w:val="22"/>
                <w:u w:val="single"/>
              </w:rPr>
            </w:pPr>
            <w:r w:rsidRPr="002A2996">
              <w:rPr>
                <w:b/>
                <w:i/>
                <w:sz w:val="22"/>
                <w:szCs w:val="22"/>
                <w:u w:val="single"/>
              </w:rPr>
              <w:t>1.6. Досрочное погашение:</w:t>
            </w:r>
          </w:p>
          <w:p w:rsidR="002A2996" w:rsidRPr="002A2996" w:rsidRDefault="002A2996" w:rsidP="004645B5">
            <w:pPr>
              <w:pStyle w:val="3"/>
              <w:spacing w:after="0"/>
              <w:ind w:left="0" w:right="85"/>
              <w:jc w:val="both"/>
              <w:rPr>
                <w:b/>
                <w:i/>
                <w:sz w:val="22"/>
                <w:szCs w:val="22"/>
                <w:lang w:eastAsia="en-US"/>
              </w:rPr>
            </w:pPr>
            <w:r w:rsidRPr="002A2996">
              <w:rPr>
                <w:b/>
                <w:i/>
                <w:sz w:val="22"/>
                <w:szCs w:val="22"/>
                <w:lang w:eastAsia="en-US"/>
              </w:rPr>
              <w:t xml:space="preserve">Предусмотрена возможность досрочного погашения Биржевых облигаций серии БО-03 по требованию владельцев и по усмотрению Эмитента. </w:t>
            </w:r>
          </w:p>
          <w:p w:rsidR="002A2996" w:rsidRPr="002A2996" w:rsidRDefault="002A2996" w:rsidP="004645B5">
            <w:pPr>
              <w:pStyle w:val="3"/>
              <w:spacing w:after="0"/>
              <w:ind w:left="0" w:right="85"/>
              <w:jc w:val="both"/>
              <w:rPr>
                <w:b/>
                <w:i/>
                <w:sz w:val="22"/>
                <w:szCs w:val="22"/>
                <w:lang w:eastAsia="en-US"/>
              </w:rPr>
            </w:pPr>
            <w:r w:rsidRPr="002A2996">
              <w:rPr>
                <w:b/>
                <w:i/>
                <w:sz w:val="22"/>
                <w:szCs w:val="22"/>
                <w:lang w:eastAsia="en-US"/>
              </w:rPr>
              <w:t xml:space="preserve">Условия и порядок досрочного погашения Биржевых облигаций серии БО-03 по требованию владельцев Биржевых облигаций серии БО-03 устанавливаются Решением о выпуске ценных бумаг и Проспектом ценных бумаг. </w:t>
            </w:r>
          </w:p>
          <w:p w:rsidR="002A2996" w:rsidRPr="002A2996" w:rsidRDefault="002A2996" w:rsidP="004645B5">
            <w:pPr>
              <w:pStyle w:val="3"/>
              <w:spacing w:after="0"/>
              <w:ind w:left="0" w:right="85"/>
              <w:jc w:val="both"/>
              <w:rPr>
                <w:b/>
                <w:bCs/>
                <w:i/>
                <w:iCs/>
                <w:sz w:val="22"/>
                <w:szCs w:val="22"/>
                <w:lang w:eastAsia="en-US"/>
              </w:rPr>
            </w:pPr>
            <w:r w:rsidRPr="002A2996">
              <w:rPr>
                <w:b/>
                <w:i/>
                <w:sz w:val="22"/>
                <w:szCs w:val="22"/>
                <w:lang w:eastAsia="en-US"/>
              </w:rPr>
              <w:t xml:space="preserve">Условия и порядок досрочного погашения Биржевых облигаций серии БО-03 по усмотрению Эмитента устанавливаются Решением о выпуске ценных бумаг и Проспектом ценных бумаг. </w:t>
            </w:r>
          </w:p>
          <w:p w:rsidR="002A2996" w:rsidRPr="002A2996" w:rsidRDefault="002A2996" w:rsidP="004645B5">
            <w:pPr>
              <w:pStyle w:val="10"/>
              <w:tabs>
                <w:tab w:val="left" w:pos="3229"/>
                <w:tab w:val="left" w:pos="8629"/>
              </w:tabs>
              <w:spacing w:before="0" w:after="0"/>
              <w:ind w:right="85"/>
              <w:jc w:val="both"/>
              <w:rPr>
                <w:b/>
                <w:i/>
                <w:sz w:val="22"/>
                <w:szCs w:val="22"/>
                <w:highlight w:val="green"/>
              </w:rPr>
            </w:pPr>
          </w:p>
          <w:p w:rsidR="002A2996" w:rsidRPr="002A2996" w:rsidRDefault="002A2996" w:rsidP="004645B5">
            <w:pPr>
              <w:pStyle w:val="10"/>
              <w:tabs>
                <w:tab w:val="left" w:pos="3229"/>
                <w:tab w:val="left" w:pos="8629"/>
              </w:tabs>
              <w:spacing w:before="0" w:after="0"/>
              <w:ind w:right="85"/>
              <w:jc w:val="both"/>
              <w:rPr>
                <w:b/>
                <w:i/>
                <w:noProof w:val="0"/>
                <w:sz w:val="22"/>
                <w:szCs w:val="22"/>
                <w:u w:val="single"/>
              </w:rPr>
            </w:pPr>
            <w:r w:rsidRPr="002A2996">
              <w:rPr>
                <w:b/>
                <w:i/>
                <w:sz w:val="22"/>
                <w:szCs w:val="22"/>
                <w:u w:val="single"/>
              </w:rPr>
              <w:t>1</w:t>
            </w:r>
            <w:r w:rsidRPr="002A2996">
              <w:rPr>
                <w:b/>
                <w:i/>
                <w:noProof w:val="0"/>
                <w:sz w:val="22"/>
                <w:szCs w:val="22"/>
                <w:u w:val="single"/>
              </w:rPr>
              <w:t>.7. Доход по облигациям.</w:t>
            </w:r>
          </w:p>
          <w:p w:rsidR="002A2996" w:rsidRPr="002A2996" w:rsidRDefault="002A2996" w:rsidP="004645B5">
            <w:pPr>
              <w:widowControl w:val="0"/>
              <w:adjustRightInd w:val="0"/>
              <w:ind w:right="85"/>
              <w:jc w:val="both"/>
              <w:rPr>
                <w:rStyle w:val="SUBST"/>
              </w:rPr>
            </w:pPr>
            <w:r w:rsidRPr="002A2996">
              <w:rPr>
                <w:rStyle w:val="SUBST"/>
              </w:rPr>
              <w:t>Доходом по Биржевым облигациям серии БО-03</w:t>
            </w:r>
            <w:r w:rsidRPr="002A2996">
              <w:rPr>
                <w:b/>
                <w:i/>
                <w:sz w:val="22"/>
                <w:szCs w:val="22"/>
                <w:lang w:eastAsia="en-US"/>
              </w:rPr>
              <w:t xml:space="preserve"> </w:t>
            </w:r>
            <w:r w:rsidRPr="002A2996">
              <w:rPr>
                <w:rStyle w:val="SUBST"/>
              </w:rPr>
              <w:t>является сумма купонных доходов, начисляемых за каждый купонный период. Биржевые облигации серии БО-03</w:t>
            </w:r>
            <w:r w:rsidRPr="002A2996">
              <w:rPr>
                <w:b/>
                <w:i/>
                <w:sz w:val="22"/>
                <w:szCs w:val="22"/>
                <w:lang w:eastAsia="en-US"/>
              </w:rPr>
              <w:t xml:space="preserve"> </w:t>
            </w:r>
            <w:r w:rsidRPr="002A2996">
              <w:rPr>
                <w:rStyle w:val="SUBST"/>
              </w:rPr>
              <w:t>имеют десять купонных периодов. Длительность каждого из купонных периодов устанавливается равной 182 (Ста восьмидесяти двум) дням.</w:t>
            </w:r>
          </w:p>
          <w:p w:rsidR="0044468F" w:rsidRPr="002A2996" w:rsidRDefault="002A2996" w:rsidP="004645B5">
            <w:pPr>
              <w:ind w:right="85"/>
              <w:jc w:val="both"/>
              <w:rPr>
                <w:b/>
                <w:i/>
                <w:sz w:val="22"/>
              </w:rPr>
            </w:pPr>
            <w:r w:rsidRPr="002A2996">
              <w:rPr>
                <w:rStyle w:val="SUBST"/>
              </w:rPr>
              <w:t>Купонный доход начисляется на непогашенную часть номинальной стоимости Биржевой облигации серии БО-03. Непогашенная часть номинальной стоимости Биржевой облигации серии БО-03</w:t>
            </w:r>
            <w:r w:rsidRPr="002A2996">
              <w:rPr>
                <w:b/>
                <w:i/>
                <w:sz w:val="22"/>
                <w:szCs w:val="22"/>
                <w:lang w:eastAsia="en-US"/>
              </w:rPr>
              <w:t xml:space="preserve"> </w:t>
            </w:r>
            <w:r w:rsidRPr="002A2996">
              <w:rPr>
                <w:rStyle w:val="SUBST"/>
              </w:rPr>
              <w:t>определяется как разница между номинальной стоимостью одной Биржевой облигации серии БО-03</w:t>
            </w:r>
            <w:r w:rsidRPr="002A2996">
              <w:rPr>
                <w:b/>
                <w:i/>
                <w:sz w:val="22"/>
                <w:szCs w:val="22"/>
                <w:lang w:eastAsia="en-US"/>
              </w:rPr>
              <w:t xml:space="preserve"> </w:t>
            </w:r>
            <w:r w:rsidRPr="002A2996">
              <w:rPr>
                <w:rStyle w:val="SUBST"/>
              </w:rPr>
              <w:t>и ее частью, погашенной при частичном досрочном погашении Биржевых облигаций серии БО-03</w:t>
            </w:r>
            <w:r w:rsidRPr="002A2996">
              <w:rPr>
                <w:b/>
                <w:i/>
                <w:sz w:val="22"/>
                <w:szCs w:val="22"/>
                <w:lang w:eastAsia="en-US"/>
              </w:rPr>
              <w:t xml:space="preserve"> </w:t>
            </w:r>
            <w:r w:rsidRPr="002A2996">
              <w:rPr>
                <w:rStyle w:val="SUBST"/>
              </w:rPr>
              <w:t>(в случае если решение о частичном досрочном погашении принято Эмитентом)</w:t>
            </w:r>
            <w:proofErr w:type="gramStart"/>
            <w:r w:rsidRPr="002A2996">
              <w:rPr>
                <w:rStyle w:val="SUBST"/>
              </w:rPr>
              <w:t>.</w:t>
            </w:r>
            <w:r w:rsidR="003337CA" w:rsidRPr="002A2996">
              <w:rPr>
                <w:rStyle w:val="SUBST"/>
              </w:rPr>
              <w:t>»</w:t>
            </w:r>
            <w:proofErr w:type="gramEnd"/>
            <w:r w:rsidR="003337CA" w:rsidRPr="002A2996">
              <w:rPr>
                <w:rStyle w:val="SUBST"/>
              </w:rPr>
              <w:t>.</w:t>
            </w:r>
          </w:p>
          <w:p w:rsidR="00E95E9A" w:rsidRPr="00EF44E0" w:rsidRDefault="001A0DE9" w:rsidP="004645B5">
            <w:pPr>
              <w:spacing w:before="40" w:after="40"/>
              <w:ind w:left="85" w:right="85" w:firstLine="482"/>
              <w:jc w:val="both"/>
              <w:rPr>
                <w:sz w:val="22"/>
                <w:szCs w:val="22"/>
              </w:rPr>
            </w:pPr>
            <w:r w:rsidRPr="00EF44E0">
              <w:rPr>
                <w:sz w:val="22"/>
                <w:szCs w:val="22"/>
              </w:rPr>
              <w:t xml:space="preserve">2.6. Факт предоставления акционерам (участникам) эмитента и (или) иным лицам преимущественного права приобретения ценных бумаг: </w:t>
            </w:r>
            <w:r w:rsidRPr="00EF44E0">
              <w:rPr>
                <w:b/>
                <w:i/>
                <w:sz w:val="22"/>
                <w:szCs w:val="22"/>
              </w:rPr>
              <w:t xml:space="preserve">Преимущественное право </w:t>
            </w:r>
            <w:r w:rsidR="00E95E9A" w:rsidRPr="00EF44E0">
              <w:rPr>
                <w:b/>
                <w:i/>
                <w:sz w:val="22"/>
                <w:szCs w:val="22"/>
              </w:rPr>
              <w:t xml:space="preserve">приобретения не предусмотрено. </w:t>
            </w:r>
          </w:p>
          <w:p w:rsidR="00E95E9A" w:rsidRPr="0080493E" w:rsidRDefault="001A0DE9" w:rsidP="004645B5">
            <w:pPr>
              <w:spacing w:before="40" w:after="40"/>
              <w:ind w:left="85" w:right="85" w:firstLine="482"/>
              <w:jc w:val="both"/>
              <w:rPr>
                <w:b/>
                <w:i/>
                <w:sz w:val="22"/>
                <w:szCs w:val="22"/>
              </w:rPr>
            </w:pPr>
            <w:r w:rsidRPr="00EF44E0">
              <w:rPr>
                <w:sz w:val="22"/>
                <w:szCs w:val="22"/>
              </w:rPr>
              <w:t xml:space="preserve">2.7. В случае, когда регистрация проспекта ценных бумаг осуществляется по усмотрению эмитента, - факт принятия эмитентом обязанности раскрывать информацию после каждого этапа процедуры эмиссии ценных бумаг: </w:t>
            </w:r>
            <w:r w:rsidRPr="00EF44E0">
              <w:rPr>
                <w:rStyle w:val="SUBST"/>
              </w:rPr>
              <w:t>Информация будет раскрываться в соответствии с требованиями Положения о раскрытии информации эмитентами эмиссионных ценных бумаг, утвержденного прика</w:t>
            </w:r>
            <w:r w:rsidR="00C5045C">
              <w:rPr>
                <w:rStyle w:val="SUBST"/>
              </w:rPr>
              <w:t>зом ФСФР России от 04.10.2011 N</w:t>
            </w:r>
            <w:r w:rsidRPr="00EF44E0">
              <w:rPr>
                <w:rStyle w:val="SUBST"/>
              </w:rPr>
              <w:t>11-46/</w:t>
            </w:r>
            <w:proofErr w:type="spellStart"/>
            <w:r w:rsidRPr="00EF44E0">
              <w:rPr>
                <w:rStyle w:val="SUBST"/>
              </w:rPr>
              <w:t>пз</w:t>
            </w:r>
            <w:proofErr w:type="spellEnd"/>
            <w:r w:rsidRPr="00EF44E0">
              <w:rPr>
                <w:rStyle w:val="SUBST"/>
              </w:rPr>
              <w:t>-н.</w:t>
            </w:r>
            <w:r w:rsidRPr="00E95E9A">
              <w:rPr>
                <w:sz w:val="22"/>
                <w:szCs w:val="22"/>
              </w:rPr>
              <w:t xml:space="preserve"> </w:t>
            </w:r>
          </w:p>
        </w:tc>
      </w:tr>
      <w:tr w:rsidR="003337CA" w:rsidRPr="000F69C7" w:rsidTr="002A2996">
        <w:tblPrEx>
          <w:tblCellMar>
            <w:left w:w="108" w:type="dxa"/>
            <w:right w:w="108" w:type="dxa"/>
          </w:tblCellMar>
          <w:tblLook w:val="00A0" w:firstRow="1" w:lastRow="0" w:firstColumn="1" w:lastColumn="0" w:noHBand="0" w:noVBand="0"/>
        </w:tblPrEx>
        <w:tc>
          <w:tcPr>
            <w:tcW w:w="5000" w:type="pct"/>
          </w:tcPr>
          <w:p w:rsidR="003337CA" w:rsidRPr="000F69C7" w:rsidRDefault="003337CA" w:rsidP="00296A86">
            <w:pPr>
              <w:pStyle w:val="prilozhenie"/>
              <w:ind w:firstLine="0"/>
              <w:jc w:val="center"/>
              <w:rPr>
                <w:b/>
                <w:bCs/>
                <w:sz w:val="22"/>
                <w:szCs w:val="22"/>
              </w:rPr>
            </w:pPr>
            <w:r w:rsidRPr="000F69C7">
              <w:rPr>
                <w:b/>
                <w:bCs/>
                <w:sz w:val="22"/>
                <w:szCs w:val="22"/>
              </w:rPr>
              <w:lastRenderedPageBreak/>
              <w:t>3. Подпись</w:t>
            </w:r>
          </w:p>
        </w:tc>
      </w:tr>
    </w:tbl>
    <w:p w:rsidR="00CC3313" w:rsidRDefault="00D03A00"/>
    <w:tbl>
      <w:tblPr>
        <w:tblpPr w:leftFromText="180" w:rightFromText="180" w:vertAnchor="text" w:horzAnchor="margin" w:tblpY="-75"/>
        <w:tblOverlap w:val="never"/>
        <w:tblW w:w="4972" w:type="pct"/>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4779"/>
        <w:gridCol w:w="2913"/>
        <w:gridCol w:w="2117"/>
      </w:tblGrid>
      <w:tr w:rsidR="00850079" w:rsidRPr="00B246FA" w:rsidTr="00945D74">
        <w:trPr>
          <w:cantSplit/>
          <w:trHeight w:val="2781"/>
        </w:trPr>
        <w:tc>
          <w:tcPr>
            <w:tcW w:w="2436" w:type="pct"/>
          </w:tcPr>
          <w:p w:rsidR="00850079" w:rsidRPr="00B246FA" w:rsidRDefault="00850079" w:rsidP="00850079">
            <w:pPr>
              <w:jc w:val="both"/>
              <w:rPr>
                <w:sz w:val="22"/>
                <w:szCs w:val="22"/>
              </w:rPr>
            </w:pPr>
          </w:p>
          <w:p w:rsidR="00850079" w:rsidRPr="00B246FA" w:rsidRDefault="00850079" w:rsidP="00850079">
            <w:pPr>
              <w:jc w:val="both"/>
              <w:rPr>
                <w:sz w:val="22"/>
                <w:szCs w:val="22"/>
              </w:rPr>
            </w:pPr>
            <w:r w:rsidRPr="00B246FA">
              <w:rPr>
                <w:sz w:val="22"/>
                <w:szCs w:val="22"/>
              </w:rPr>
              <w:t xml:space="preserve">3.1. </w:t>
            </w:r>
            <w:r w:rsidRPr="000708B1">
              <w:rPr>
                <w:sz w:val="22"/>
                <w:szCs w:val="22"/>
              </w:rPr>
              <w:t xml:space="preserve">Президент </w:t>
            </w:r>
            <w:r w:rsidRPr="000708B1">
              <w:rPr>
                <w:bCs/>
                <w:iCs/>
                <w:sz w:val="22"/>
                <w:szCs w:val="22"/>
              </w:rPr>
              <w:t>Закрытого акционерного общества «Холдинговая Компания «ГЕОТЕК»,</w:t>
            </w:r>
            <w:r w:rsidRPr="000708B1">
              <w:rPr>
                <w:sz w:val="22"/>
                <w:szCs w:val="22"/>
              </w:rPr>
              <w:t xml:space="preserve"> управляющей организации </w:t>
            </w:r>
            <w:r w:rsidRPr="000708B1">
              <w:rPr>
                <w:bCs/>
                <w:iCs/>
                <w:sz w:val="22"/>
                <w:szCs w:val="22"/>
              </w:rPr>
              <w:t xml:space="preserve">ОАО «ГЕОТЕК Сейсморазведка», действующей на основании договора о передаче полномочий единоличного исполнительного органа </w:t>
            </w:r>
            <w:r w:rsidR="002A2996">
              <w:rPr>
                <w:bCs/>
                <w:iCs/>
                <w:sz w:val="22"/>
                <w:szCs w:val="22"/>
              </w:rPr>
              <w:t>№</w:t>
            </w:r>
            <w:r w:rsidRPr="000708B1">
              <w:rPr>
                <w:bCs/>
                <w:iCs/>
                <w:sz w:val="22"/>
                <w:szCs w:val="22"/>
              </w:rPr>
              <w:t>GH/12-15-</w:t>
            </w:r>
            <w:r w:rsidRPr="000708B1">
              <w:rPr>
                <w:bCs/>
                <w:iCs/>
                <w:sz w:val="22"/>
                <w:szCs w:val="22"/>
                <w:lang w:val="en-US"/>
              </w:rPr>
              <w:t>mo</w:t>
            </w:r>
            <w:r w:rsidRPr="000708B1">
              <w:rPr>
                <w:bCs/>
                <w:iCs/>
                <w:sz w:val="22"/>
                <w:szCs w:val="22"/>
              </w:rPr>
              <w:t xml:space="preserve"> от 06.04.2012</w:t>
            </w:r>
          </w:p>
          <w:p w:rsidR="00850079" w:rsidRPr="00B246FA" w:rsidRDefault="00850079" w:rsidP="00850079">
            <w:pPr>
              <w:jc w:val="both"/>
              <w:rPr>
                <w:sz w:val="22"/>
                <w:szCs w:val="22"/>
              </w:rPr>
            </w:pPr>
          </w:p>
          <w:p w:rsidR="00850079" w:rsidRPr="00B246FA" w:rsidRDefault="00850079" w:rsidP="00D03A00">
            <w:pPr>
              <w:jc w:val="both"/>
              <w:rPr>
                <w:sz w:val="22"/>
                <w:szCs w:val="22"/>
              </w:rPr>
            </w:pPr>
            <w:r w:rsidRPr="00B246FA">
              <w:rPr>
                <w:sz w:val="22"/>
                <w:szCs w:val="22"/>
              </w:rPr>
              <w:t>3.2. Дата «</w:t>
            </w:r>
            <w:r w:rsidR="00D03A00">
              <w:rPr>
                <w:sz w:val="22"/>
                <w:szCs w:val="22"/>
                <w:lang w:val="en-US"/>
              </w:rPr>
              <w:t>13</w:t>
            </w:r>
            <w:bookmarkStart w:id="0" w:name="_GoBack"/>
            <w:bookmarkEnd w:id="0"/>
            <w:r w:rsidRPr="00B246FA">
              <w:rPr>
                <w:sz w:val="22"/>
                <w:szCs w:val="22"/>
              </w:rPr>
              <w:t xml:space="preserve">» </w:t>
            </w:r>
            <w:r>
              <w:rPr>
                <w:sz w:val="22"/>
                <w:szCs w:val="22"/>
              </w:rPr>
              <w:t>марта</w:t>
            </w:r>
            <w:r w:rsidRPr="00B246FA">
              <w:rPr>
                <w:sz w:val="22"/>
                <w:szCs w:val="22"/>
              </w:rPr>
              <w:t xml:space="preserve"> 201</w:t>
            </w:r>
            <w:r>
              <w:rPr>
                <w:sz w:val="22"/>
                <w:szCs w:val="22"/>
              </w:rPr>
              <w:t>4</w:t>
            </w:r>
            <w:r w:rsidRPr="00B246FA">
              <w:rPr>
                <w:sz w:val="22"/>
                <w:szCs w:val="22"/>
              </w:rPr>
              <w:t xml:space="preserve"> г.</w:t>
            </w:r>
          </w:p>
        </w:tc>
        <w:tc>
          <w:tcPr>
            <w:tcW w:w="1485" w:type="pct"/>
          </w:tcPr>
          <w:p w:rsidR="00850079" w:rsidRDefault="00850079" w:rsidP="000D4FB1">
            <w:pPr>
              <w:rPr>
                <w:sz w:val="22"/>
                <w:szCs w:val="22"/>
              </w:rPr>
            </w:pPr>
          </w:p>
          <w:p w:rsidR="000D4FB1" w:rsidRDefault="000D4FB1" w:rsidP="000D4FB1">
            <w:pPr>
              <w:rPr>
                <w:sz w:val="22"/>
                <w:szCs w:val="22"/>
              </w:rPr>
            </w:pPr>
          </w:p>
          <w:p w:rsidR="000D4FB1" w:rsidRDefault="000D4FB1" w:rsidP="000D4FB1">
            <w:pPr>
              <w:rPr>
                <w:sz w:val="22"/>
                <w:szCs w:val="22"/>
              </w:rPr>
            </w:pPr>
          </w:p>
          <w:p w:rsidR="000D4FB1" w:rsidRDefault="000D4FB1" w:rsidP="000D4FB1">
            <w:pPr>
              <w:rPr>
                <w:sz w:val="22"/>
                <w:szCs w:val="22"/>
              </w:rPr>
            </w:pPr>
          </w:p>
          <w:p w:rsidR="000D4FB1" w:rsidRDefault="000D4FB1" w:rsidP="000D4FB1">
            <w:pPr>
              <w:rPr>
                <w:sz w:val="22"/>
                <w:szCs w:val="22"/>
              </w:rPr>
            </w:pPr>
          </w:p>
          <w:p w:rsidR="000D4FB1" w:rsidRDefault="000D4FB1" w:rsidP="000D4FB1">
            <w:pPr>
              <w:rPr>
                <w:sz w:val="22"/>
                <w:szCs w:val="22"/>
              </w:rPr>
            </w:pPr>
          </w:p>
          <w:p w:rsidR="000D4FB1" w:rsidRDefault="000D4FB1" w:rsidP="000D4FB1">
            <w:pPr>
              <w:rPr>
                <w:sz w:val="22"/>
                <w:szCs w:val="22"/>
              </w:rPr>
            </w:pPr>
          </w:p>
          <w:p w:rsidR="000D4FB1" w:rsidRPr="00B246FA" w:rsidRDefault="000D4FB1" w:rsidP="000D4FB1">
            <w:pPr>
              <w:jc w:val="center"/>
              <w:rPr>
                <w:sz w:val="22"/>
                <w:szCs w:val="22"/>
              </w:rPr>
            </w:pPr>
            <w:r>
              <w:rPr>
                <w:sz w:val="22"/>
                <w:szCs w:val="22"/>
              </w:rPr>
              <w:t>______________________</w:t>
            </w:r>
          </w:p>
        </w:tc>
        <w:tc>
          <w:tcPr>
            <w:tcW w:w="1080" w:type="pct"/>
          </w:tcPr>
          <w:p w:rsidR="00850079" w:rsidRPr="00B246FA" w:rsidRDefault="00850079" w:rsidP="000D4FB1">
            <w:pPr>
              <w:rPr>
                <w:sz w:val="22"/>
                <w:szCs w:val="22"/>
              </w:rPr>
            </w:pPr>
          </w:p>
          <w:p w:rsidR="00850079" w:rsidRPr="00B246FA" w:rsidRDefault="00850079" w:rsidP="000D4FB1">
            <w:pPr>
              <w:rPr>
                <w:sz w:val="22"/>
                <w:szCs w:val="22"/>
              </w:rPr>
            </w:pPr>
          </w:p>
          <w:p w:rsidR="00850079" w:rsidRPr="00B246FA" w:rsidRDefault="00850079" w:rsidP="000D4FB1">
            <w:pPr>
              <w:rPr>
                <w:sz w:val="22"/>
                <w:szCs w:val="22"/>
              </w:rPr>
            </w:pPr>
          </w:p>
          <w:p w:rsidR="00850079" w:rsidRPr="00B246FA" w:rsidRDefault="00850079" w:rsidP="000D4FB1">
            <w:pPr>
              <w:rPr>
                <w:sz w:val="22"/>
                <w:szCs w:val="22"/>
              </w:rPr>
            </w:pPr>
          </w:p>
          <w:p w:rsidR="00850079" w:rsidRPr="00B246FA" w:rsidRDefault="00850079" w:rsidP="000D4FB1">
            <w:pPr>
              <w:rPr>
                <w:sz w:val="22"/>
                <w:szCs w:val="22"/>
              </w:rPr>
            </w:pPr>
          </w:p>
          <w:p w:rsidR="000D4FB1" w:rsidRDefault="000D4FB1" w:rsidP="000D4FB1">
            <w:pPr>
              <w:rPr>
                <w:sz w:val="22"/>
                <w:szCs w:val="22"/>
              </w:rPr>
            </w:pPr>
            <w:r>
              <w:rPr>
                <w:sz w:val="22"/>
                <w:szCs w:val="22"/>
              </w:rPr>
              <w:t xml:space="preserve"> </w:t>
            </w:r>
          </w:p>
          <w:p w:rsidR="000D4FB1" w:rsidRDefault="000D4FB1" w:rsidP="000D4FB1">
            <w:pPr>
              <w:rPr>
                <w:sz w:val="22"/>
                <w:szCs w:val="22"/>
              </w:rPr>
            </w:pPr>
          </w:p>
          <w:p w:rsidR="00850079" w:rsidRPr="00B246FA" w:rsidRDefault="00850079" w:rsidP="000D4FB1">
            <w:pPr>
              <w:rPr>
                <w:sz w:val="22"/>
                <w:szCs w:val="22"/>
              </w:rPr>
            </w:pPr>
            <w:r w:rsidRPr="000708B1">
              <w:rPr>
                <w:sz w:val="22"/>
                <w:szCs w:val="22"/>
              </w:rPr>
              <w:t>Левицкий Н.В.</w:t>
            </w:r>
          </w:p>
        </w:tc>
      </w:tr>
    </w:tbl>
    <w:p w:rsidR="001A0DE9" w:rsidRDefault="001A0DE9"/>
    <w:sectPr w:rsidR="001A0DE9" w:rsidSect="003102A7">
      <w:footerReference w:type="default" r:id="rId9"/>
      <w:pgSz w:w="11906" w:h="16838"/>
      <w:pgMar w:top="1134" w:right="851" w:bottom="1134"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5B5" w:rsidRDefault="004645B5" w:rsidP="004645B5">
      <w:r>
        <w:separator/>
      </w:r>
    </w:p>
  </w:endnote>
  <w:endnote w:type="continuationSeparator" w:id="0">
    <w:p w:rsidR="004645B5" w:rsidRDefault="004645B5" w:rsidP="00464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9414665"/>
      <w:docPartObj>
        <w:docPartGallery w:val="Page Numbers (Bottom of Page)"/>
        <w:docPartUnique/>
      </w:docPartObj>
    </w:sdtPr>
    <w:sdtEndPr/>
    <w:sdtContent>
      <w:p w:rsidR="004645B5" w:rsidRDefault="004645B5">
        <w:pPr>
          <w:pStyle w:val="ae"/>
          <w:jc w:val="right"/>
        </w:pPr>
        <w:r>
          <w:fldChar w:fldCharType="begin"/>
        </w:r>
        <w:r>
          <w:instrText>PAGE   \* MERGEFORMAT</w:instrText>
        </w:r>
        <w:r>
          <w:fldChar w:fldCharType="separate"/>
        </w:r>
        <w:r w:rsidR="00D03A00">
          <w:rPr>
            <w:noProof/>
          </w:rPr>
          <w:t>3</w:t>
        </w:r>
        <w:r>
          <w:fldChar w:fldCharType="end"/>
        </w:r>
      </w:p>
    </w:sdtContent>
  </w:sdt>
  <w:p w:rsidR="004645B5" w:rsidRDefault="004645B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5B5" w:rsidRDefault="004645B5" w:rsidP="004645B5">
      <w:r>
        <w:separator/>
      </w:r>
    </w:p>
  </w:footnote>
  <w:footnote w:type="continuationSeparator" w:id="0">
    <w:p w:rsidR="004645B5" w:rsidRDefault="004645B5" w:rsidP="004645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A0DE9"/>
    <w:rsid w:val="00062DD2"/>
    <w:rsid w:val="000D4FB1"/>
    <w:rsid w:val="001A0DE9"/>
    <w:rsid w:val="002A2996"/>
    <w:rsid w:val="002C00DA"/>
    <w:rsid w:val="002F5ECD"/>
    <w:rsid w:val="003102A7"/>
    <w:rsid w:val="003337CA"/>
    <w:rsid w:val="003F1268"/>
    <w:rsid w:val="0044468F"/>
    <w:rsid w:val="004645B5"/>
    <w:rsid w:val="004D23F1"/>
    <w:rsid w:val="00694C4A"/>
    <w:rsid w:val="00765F70"/>
    <w:rsid w:val="00850079"/>
    <w:rsid w:val="00880613"/>
    <w:rsid w:val="008966E6"/>
    <w:rsid w:val="008A33DF"/>
    <w:rsid w:val="00945D74"/>
    <w:rsid w:val="009A29E8"/>
    <w:rsid w:val="009E42F0"/>
    <w:rsid w:val="009F258C"/>
    <w:rsid w:val="00A56A3A"/>
    <w:rsid w:val="00A6752C"/>
    <w:rsid w:val="00C5045C"/>
    <w:rsid w:val="00CA18F8"/>
    <w:rsid w:val="00D03A00"/>
    <w:rsid w:val="00D251C3"/>
    <w:rsid w:val="00E95E9A"/>
    <w:rsid w:val="00E96C4D"/>
    <w:rsid w:val="00EF4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DE9"/>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A0DE9"/>
    <w:rPr>
      <w:rFonts w:cs="Times New Roman"/>
      <w:color w:val="0000FF"/>
      <w:u w:val="single"/>
    </w:rPr>
  </w:style>
  <w:style w:type="character" w:customStyle="1" w:styleId="SUBST">
    <w:name w:val="__SUBST"/>
    <w:rsid w:val="001A0DE9"/>
    <w:rPr>
      <w:b/>
      <w:i/>
      <w:sz w:val="22"/>
    </w:rPr>
  </w:style>
  <w:style w:type="paragraph" w:customStyle="1" w:styleId="1">
    <w:name w:val="Стиль Подзаголовка 1"/>
    <w:basedOn w:val="a"/>
    <w:uiPriority w:val="99"/>
    <w:rsid w:val="00E95E9A"/>
    <w:pPr>
      <w:keepNext/>
      <w:numPr>
        <w:ilvl w:val="12"/>
      </w:numPr>
      <w:autoSpaceDE/>
      <w:autoSpaceDN/>
      <w:spacing w:before="240"/>
      <w:jc w:val="both"/>
    </w:pPr>
    <w:rPr>
      <w:b/>
      <w:bCs/>
      <w:i/>
      <w:iCs/>
      <w:sz w:val="22"/>
      <w:szCs w:val="22"/>
    </w:rPr>
  </w:style>
  <w:style w:type="paragraph" w:customStyle="1" w:styleId="ConsNormal">
    <w:name w:val="ConsNormal"/>
    <w:link w:val="ConsNormal0"/>
    <w:rsid w:val="00E95E9A"/>
    <w:pPr>
      <w:autoSpaceDE w:val="0"/>
      <w:autoSpaceDN w:val="0"/>
      <w:spacing w:after="0" w:line="240" w:lineRule="auto"/>
      <w:ind w:right="19771" w:firstLine="539"/>
      <w:jc w:val="both"/>
    </w:pPr>
    <w:rPr>
      <w:rFonts w:ascii="Courier New" w:eastAsia="Times New Roman" w:hAnsi="Courier New" w:cs="Courier New"/>
      <w:sz w:val="20"/>
      <w:szCs w:val="20"/>
      <w:lang w:val="en-US" w:eastAsia="ru-RU"/>
    </w:rPr>
  </w:style>
  <w:style w:type="character" w:customStyle="1" w:styleId="ConsNormal0">
    <w:name w:val="ConsNormal Знак"/>
    <w:link w:val="ConsNormal"/>
    <w:locked/>
    <w:rsid w:val="00E95E9A"/>
    <w:rPr>
      <w:rFonts w:ascii="Courier New" w:eastAsia="Times New Roman" w:hAnsi="Courier New" w:cs="Courier New"/>
      <w:sz w:val="20"/>
      <w:szCs w:val="20"/>
      <w:lang w:val="en-US" w:eastAsia="ru-RU"/>
    </w:rPr>
  </w:style>
  <w:style w:type="character" w:styleId="a4">
    <w:name w:val="annotation reference"/>
    <w:basedOn w:val="a0"/>
    <w:uiPriority w:val="99"/>
    <w:semiHidden/>
    <w:unhideWhenUsed/>
    <w:rsid w:val="0044468F"/>
    <w:rPr>
      <w:sz w:val="16"/>
      <w:szCs w:val="16"/>
    </w:rPr>
  </w:style>
  <w:style w:type="paragraph" w:styleId="a5">
    <w:name w:val="annotation text"/>
    <w:basedOn w:val="a"/>
    <w:link w:val="a6"/>
    <w:uiPriority w:val="99"/>
    <w:semiHidden/>
    <w:unhideWhenUsed/>
    <w:rsid w:val="0044468F"/>
    <w:pPr>
      <w:autoSpaceDE/>
      <w:autoSpaceDN/>
      <w:spacing w:after="200" w:line="276" w:lineRule="auto"/>
    </w:pPr>
    <w:rPr>
      <w:rFonts w:ascii="Calibri" w:hAnsi="Calibri"/>
    </w:rPr>
  </w:style>
  <w:style w:type="character" w:customStyle="1" w:styleId="a6">
    <w:name w:val="Текст примечания Знак"/>
    <w:basedOn w:val="a0"/>
    <w:link w:val="a5"/>
    <w:uiPriority w:val="99"/>
    <w:semiHidden/>
    <w:rsid w:val="0044468F"/>
    <w:rPr>
      <w:rFonts w:ascii="Calibri" w:eastAsia="Times New Roman" w:hAnsi="Calibri" w:cs="Times New Roman"/>
      <w:sz w:val="20"/>
      <w:szCs w:val="20"/>
      <w:lang w:eastAsia="ru-RU"/>
    </w:rPr>
  </w:style>
  <w:style w:type="paragraph" w:styleId="a7">
    <w:name w:val="Balloon Text"/>
    <w:basedOn w:val="a"/>
    <w:link w:val="a8"/>
    <w:uiPriority w:val="99"/>
    <w:semiHidden/>
    <w:unhideWhenUsed/>
    <w:rsid w:val="0044468F"/>
    <w:rPr>
      <w:rFonts w:ascii="Tahoma" w:hAnsi="Tahoma" w:cs="Tahoma"/>
      <w:sz w:val="16"/>
      <w:szCs w:val="16"/>
    </w:rPr>
  </w:style>
  <w:style w:type="character" w:customStyle="1" w:styleId="a8">
    <w:name w:val="Текст выноски Знак"/>
    <w:basedOn w:val="a0"/>
    <w:link w:val="a7"/>
    <w:uiPriority w:val="99"/>
    <w:semiHidden/>
    <w:rsid w:val="0044468F"/>
    <w:rPr>
      <w:rFonts w:ascii="Tahoma" w:eastAsia="Times New Roman" w:hAnsi="Tahoma" w:cs="Tahoma"/>
      <w:sz w:val="16"/>
      <w:szCs w:val="16"/>
      <w:lang w:eastAsia="ru-RU"/>
    </w:rPr>
  </w:style>
  <w:style w:type="character" w:customStyle="1" w:styleId="apple-converted-space">
    <w:name w:val="apple-converted-space"/>
    <w:basedOn w:val="a0"/>
    <w:rsid w:val="00E96C4D"/>
  </w:style>
  <w:style w:type="paragraph" w:styleId="a9">
    <w:name w:val="Body Text Indent"/>
    <w:basedOn w:val="a"/>
    <w:link w:val="aa"/>
    <w:rsid w:val="00E96C4D"/>
    <w:pPr>
      <w:autoSpaceDE/>
      <w:autoSpaceDN/>
      <w:spacing w:after="120"/>
      <w:ind w:left="283"/>
    </w:pPr>
  </w:style>
  <w:style w:type="character" w:customStyle="1" w:styleId="aa">
    <w:name w:val="Основной текст с отступом Знак"/>
    <w:basedOn w:val="a0"/>
    <w:link w:val="a9"/>
    <w:rsid w:val="00E96C4D"/>
    <w:rPr>
      <w:rFonts w:ascii="Times New Roman" w:eastAsia="Times New Roman" w:hAnsi="Times New Roman" w:cs="Times New Roman"/>
      <w:sz w:val="20"/>
      <w:szCs w:val="20"/>
      <w:lang w:eastAsia="ru-RU"/>
    </w:rPr>
  </w:style>
  <w:style w:type="paragraph" w:styleId="3">
    <w:name w:val="Body Text Indent 3"/>
    <w:basedOn w:val="a"/>
    <w:link w:val="30"/>
    <w:unhideWhenUsed/>
    <w:rsid w:val="004D23F1"/>
    <w:pPr>
      <w:autoSpaceDE/>
      <w:autoSpaceDN/>
      <w:spacing w:after="120"/>
      <w:ind w:left="283"/>
    </w:pPr>
    <w:rPr>
      <w:sz w:val="16"/>
      <w:szCs w:val="16"/>
    </w:rPr>
  </w:style>
  <w:style w:type="character" w:customStyle="1" w:styleId="30">
    <w:name w:val="Основной текст с отступом 3 Знак"/>
    <w:basedOn w:val="a0"/>
    <w:link w:val="3"/>
    <w:rsid w:val="004D23F1"/>
    <w:rPr>
      <w:rFonts w:ascii="Times New Roman" w:eastAsia="Times New Roman" w:hAnsi="Times New Roman" w:cs="Times New Roman"/>
      <w:sz w:val="16"/>
      <w:szCs w:val="16"/>
      <w:lang w:eastAsia="ru-RU"/>
    </w:rPr>
  </w:style>
  <w:style w:type="paragraph" w:customStyle="1" w:styleId="NormalPrefix">
    <w:name w:val="Normal Prefix"/>
    <w:link w:val="NormalPrefix0"/>
    <w:rsid w:val="004D23F1"/>
    <w:pPr>
      <w:widowControl w:val="0"/>
      <w:autoSpaceDE w:val="0"/>
      <w:autoSpaceDN w:val="0"/>
      <w:adjustRightInd w:val="0"/>
      <w:spacing w:before="200" w:after="40" w:line="240" w:lineRule="auto"/>
    </w:pPr>
    <w:rPr>
      <w:rFonts w:ascii="Times New Roman" w:eastAsia="Calibri" w:hAnsi="Times New Roman" w:cs="Times New Roman"/>
      <w:lang w:eastAsia="ru-RU"/>
    </w:rPr>
  </w:style>
  <w:style w:type="paragraph" w:customStyle="1" w:styleId="BodyTextbt">
    <w:name w:val="Body Text.bt"/>
    <w:basedOn w:val="a"/>
    <w:rsid w:val="004D23F1"/>
    <w:pPr>
      <w:jc w:val="both"/>
    </w:pPr>
    <w:rPr>
      <w:rFonts w:eastAsia="Calibri"/>
      <w:b/>
      <w:bCs/>
      <w:i/>
      <w:iCs/>
      <w:sz w:val="22"/>
      <w:szCs w:val="22"/>
    </w:rPr>
  </w:style>
  <w:style w:type="character" w:customStyle="1" w:styleId="NormalPrefix0">
    <w:name w:val="Normal Prefix Знак"/>
    <w:link w:val="NormalPrefix"/>
    <w:locked/>
    <w:rsid w:val="004D23F1"/>
    <w:rPr>
      <w:rFonts w:ascii="Times New Roman" w:eastAsia="Calibri" w:hAnsi="Times New Roman" w:cs="Times New Roman"/>
      <w:lang w:eastAsia="ru-RU"/>
    </w:rPr>
  </w:style>
  <w:style w:type="paragraph" w:customStyle="1" w:styleId="prilozhenie">
    <w:name w:val="prilozhenie"/>
    <w:basedOn w:val="a"/>
    <w:rsid w:val="003337CA"/>
    <w:pPr>
      <w:autoSpaceDE/>
      <w:autoSpaceDN/>
      <w:ind w:firstLine="709"/>
      <w:jc w:val="both"/>
    </w:pPr>
    <w:rPr>
      <w:sz w:val="24"/>
      <w:szCs w:val="24"/>
      <w:lang w:eastAsia="en-US"/>
    </w:rPr>
  </w:style>
  <w:style w:type="paragraph" w:styleId="2">
    <w:name w:val="Body Text Indent 2"/>
    <w:basedOn w:val="a"/>
    <w:link w:val="20"/>
    <w:semiHidden/>
    <w:unhideWhenUsed/>
    <w:rsid w:val="003337CA"/>
    <w:pPr>
      <w:autoSpaceDE/>
      <w:autoSpaceDN/>
      <w:spacing w:after="120" w:line="480" w:lineRule="auto"/>
      <w:ind w:left="283"/>
    </w:pPr>
  </w:style>
  <w:style w:type="character" w:customStyle="1" w:styleId="20">
    <w:name w:val="Основной текст с отступом 2 Знак"/>
    <w:basedOn w:val="a0"/>
    <w:link w:val="2"/>
    <w:semiHidden/>
    <w:rsid w:val="003337CA"/>
    <w:rPr>
      <w:rFonts w:ascii="Times New Roman" w:eastAsia="Times New Roman" w:hAnsi="Times New Roman" w:cs="Times New Roman"/>
      <w:sz w:val="20"/>
      <w:szCs w:val="20"/>
      <w:lang w:eastAsia="ru-RU"/>
    </w:rPr>
  </w:style>
  <w:style w:type="paragraph" w:customStyle="1" w:styleId="10">
    <w:name w:val="Неформальный1"/>
    <w:rsid w:val="003337CA"/>
    <w:pPr>
      <w:spacing w:before="60" w:after="60" w:line="240" w:lineRule="auto"/>
    </w:pPr>
    <w:rPr>
      <w:rFonts w:ascii="Times New Roman" w:eastAsia="Times New Roman" w:hAnsi="Times New Roman" w:cs="Times New Roman"/>
      <w:noProof/>
      <w:sz w:val="20"/>
      <w:szCs w:val="20"/>
      <w:lang w:eastAsia="ru-RU"/>
    </w:rPr>
  </w:style>
  <w:style w:type="paragraph" w:customStyle="1" w:styleId="11">
    <w:name w:val="Стиль Абзаца 1"/>
    <w:basedOn w:val="2"/>
    <w:rsid w:val="003337CA"/>
    <w:pPr>
      <w:snapToGrid w:val="0"/>
      <w:spacing w:before="120" w:after="0" w:line="240" w:lineRule="auto"/>
      <w:ind w:left="0" w:firstLine="851"/>
      <w:jc w:val="both"/>
    </w:pPr>
    <w:rPr>
      <w:sz w:val="24"/>
      <w:lang w:eastAsia="zh-CN"/>
    </w:rPr>
  </w:style>
  <w:style w:type="character" w:styleId="ab">
    <w:name w:val="FollowedHyperlink"/>
    <w:basedOn w:val="a0"/>
    <w:uiPriority w:val="99"/>
    <w:semiHidden/>
    <w:unhideWhenUsed/>
    <w:rsid w:val="00C5045C"/>
    <w:rPr>
      <w:color w:val="800080" w:themeColor="followedHyperlink"/>
      <w:u w:val="single"/>
    </w:rPr>
  </w:style>
  <w:style w:type="paragraph" w:styleId="ac">
    <w:name w:val="header"/>
    <w:basedOn w:val="a"/>
    <w:link w:val="ad"/>
    <w:uiPriority w:val="99"/>
    <w:unhideWhenUsed/>
    <w:rsid w:val="004645B5"/>
    <w:pPr>
      <w:tabs>
        <w:tab w:val="center" w:pos="4677"/>
        <w:tab w:val="right" w:pos="9355"/>
      </w:tabs>
    </w:pPr>
  </w:style>
  <w:style w:type="character" w:customStyle="1" w:styleId="ad">
    <w:name w:val="Верхний колонтитул Знак"/>
    <w:basedOn w:val="a0"/>
    <w:link w:val="ac"/>
    <w:uiPriority w:val="99"/>
    <w:rsid w:val="004645B5"/>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4645B5"/>
    <w:pPr>
      <w:tabs>
        <w:tab w:val="center" w:pos="4677"/>
        <w:tab w:val="right" w:pos="9355"/>
      </w:tabs>
    </w:pPr>
  </w:style>
  <w:style w:type="character" w:customStyle="1" w:styleId="af">
    <w:name w:val="Нижний колонтитул Знак"/>
    <w:basedOn w:val="a0"/>
    <w:link w:val="ae"/>
    <w:uiPriority w:val="99"/>
    <w:rsid w:val="004645B5"/>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DE9"/>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A0DE9"/>
    <w:rPr>
      <w:rFonts w:cs="Times New Roman"/>
      <w:color w:val="0000FF"/>
      <w:u w:val="single"/>
    </w:rPr>
  </w:style>
  <w:style w:type="character" w:customStyle="1" w:styleId="SUBST">
    <w:name w:val="__SUBST"/>
    <w:rsid w:val="001A0DE9"/>
    <w:rPr>
      <w:b/>
      <w:i/>
      <w:sz w:val="22"/>
    </w:rPr>
  </w:style>
  <w:style w:type="paragraph" w:customStyle="1" w:styleId="1">
    <w:name w:val="Стиль Подзаголовка 1"/>
    <w:basedOn w:val="a"/>
    <w:uiPriority w:val="99"/>
    <w:rsid w:val="00E95E9A"/>
    <w:pPr>
      <w:keepNext/>
      <w:numPr>
        <w:ilvl w:val="12"/>
      </w:numPr>
      <w:autoSpaceDE/>
      <w:autoSpaceDN/>
      <w:spacing w:before="240"/>
      <w:jc w:val="both"/>
    </w:pPr>
    <w:rPr>
      <w:b/>
      <w:bCs/>
      <w:i/>
      <w:iCs/>
      <w:sz w:val="22"/>
      <w:szCs w:val="22"/>
    </w:rPr>
  </w:style>
  <w:style w:type="paragraph" w:customStyle="1" w:styleId="ConsNormal">
    <w:name w:val="ConsNormal"/>
    <w:link w:val="ConsNormal0"/>
    <w:rsid w:val="00E95E9A"/>
    <w:pPr>
      <w:autoSpaceDE w:val="0"/>
      <w:autoSpaceDN w:val="0"/>
      <w:spacing w:after="0" w:line="240" w:lineRule="auto"/>
      <w:ind w:right="19771" w:firstLine="539"/>
      <w:jc w:val="both"/>
    </w:pPr>
    <w:rPr>
      <w:rFonts w:ascii="Courier New" w:eastAsia="Times New Roman" w:hAnsi="Courier New" w:cs="Courier New"/>
      <w:sz w:val="20"/>
      <w:szCs w:val="20"/>
      <w:lang w:val="en-US" w:eastAsia="ru-RU"/>
    </w:rPr>
  </w:style>
  <w:style w:type="character" w:customStyle="1" w:styleId="ConsNormal0">
    <w:name w:val="ConsNormal Знак"/>
    <w:link w:val="ConsNormal"/>
    <w:locked/>
    <w:rsid w:val="00E95E9A"/>
    <w:rPr>
      <w:rFonts w:ascii="Courier New" w:eastAsia="Times New Roman" w:hAnsi="Courier New" w:cs="Courier New"/>
      <w:sz w:val="20"/>
      <w:szCs w:val="20"/>
      <w:lang w:val="en-US" w:eastAsia="ru-RU"/>
    </w:rPr>
  </w:style>
  <w:style w:type="character" w:styleId="a4">
    <w:name w:val="annotation reference"/>
    <w:basedOn w:val="a0"/>
    <w:uiPriority w:val="99"/>
    <w:semiHidden/>
    <w:unhideWhenUsed/>
    <w:rsid w:val="0044468F"/>
    <w:rPr>
      <w:sz w:val="16"/>
      <w:szCs w:val="16"/>
    </w:rPr>
  </w:style>
  <w:style w:type="paragraph" w:styleId="a5">
    <w:name w:val="annotation text"/>
    <w:basedOn w:val="a"/>
    <w:link w:val="a6"/>
    <w:uiPriority w:val="99"/>
    <w:semiHidden/>
    <w:unhideWhenUsed/>
    <w:rsid w:val="0044468F"/>
    <w:pPr>
      <w:autoSpaceDE/>
      <w:autoSpaceDN/>
      <w:spacing w:after="200" w:line="276" w:lineRule="auto"/>
    </w:pPr>
    <w:rPr>
      <w:rFonts w:ascii="Calibri" w:hAnsi="Calibri"/>
    </w:rPr>
  </w:style>
  <w:style w:type="character" w:customStyle="1" w:styleId="a6">
    <w:name w:val="Comment Text Char"/>
    <w:basedOn w:val="a0"/>
    <w:link w:val="a5"/>
    <w:uiPriority w:val="99"/>
    <w:semiHidden/>
    <w:rsid w:val="0044468F"/>
    <w:rPr>
      <w:rFonts w:ascii="Calibri" w:eastAsia="Times New Roman" w:hAnsi="Calibri" w:cs="Times New Roman"/>
      <w:sz w:val="20"/>
      <w:szCs w:val="20"/>
      <w:lang w:eastAsia="ru-RU"/>
    </w:rPr>
  </w:style>
  <w:style w:type="paragraph" w:styleId="a7">
    <w:name w:val="Balloon Text"/>
    <w:basedOn w:val="a"/>
    <w:link w:val="a8"/>
    <w:uiPriority w:val="99"/>
    <w:semiHidden/>
    <w:unhideWhenUsed/>
    <w:rsid w:val="0044468F"/>
    <w:rPr>
      <w:rFonts w:ascii="Tahoma" w:hAnsi="Tahoma" w:cs="Tahoma"/>
      <w:sz w:val="16"/>
      <w:szCs w:val="16"/>
    </w:rPr>
  </w:style>
  <w:style w:type="character" w:customStyle="1" w:styleId="a8">
    <w:name w:val="Balloon Text Char"/>
    <w:basedOn w:val="a0"/>
    <w:link w:val="a7"/>
    <w:uiPriority w:val="99"/>
    <w:semiHidden/>
    <w:rsid w:val="0044468F"/>
    <w:rPr>
      <w:rFonts w:ascii="Tahoma" w:eastAsia="Times New Roman" w:hAnsi="Tahoma" w:cs="Tahoma"/>
      <w:sz w:val="16"/>
      <w:szCs w:val="16"/>
      <w:lang w:eastAsia="ru-RU"/>
    </w:rPr>
  </w:style>
  <w:style w:type="character" w:customStyle="1" w:styleId="apple-converted-space">
    <w:name w:val="apple-converted-space"/>
    <w:basedOn w:val="a0"/>
    <w:rsid w:val="00E96C4D"/>
  </w:style>
  <w:style w:type="paragraph" w:styleId="a9">
    <w:name w:val="Body Text Indent"/>
    <w:basedOn w:val="a"/>
    <w:link w:val="aa"/>
    <w:rsid w:val="00E96C4D"/>
    <w:pPr>
      <w:autoSpaceDE/>
      <w:autoSpaceDN/>
      <w:spacing w:after="120"/>
      <w:ind w:left="283"/>
    </w:pPr>
  </w:style>
  <w:style w:type="character" w:customStyle="1" w:styleId="aa">
    <w:name w:val="Body Text Indent Char"/>
    <w:basedOn w:val="a0"/>
    <w:link w:val="a9"/>
    <w:rsid w:val="00E96C4D"/>
    <w:rPr>
      <w:rFonts w:ascii="Times New Roman" w:eastAsia="Times New Roman" w:hAnsi="Times New Roman" w:cs="Times New Roman"/>
      <w:sz w:val="20"/>
      <w:szCs w:val="20"/>
      <w:lang w:eastAsia="ru-RU"/>
    </w:rPr>
  </w:style>
  <w:style w:type="paragraph" w:styleId="3">
    <w:name w:val="Body Text Indent 3"/>
    <w:basedOn w:val="a"/>
    <w:link w:val="30"/>
    <w:unhideWhenUsed/>
    <w:rsid w:val="004D23F1"/>
    <w:pPr>
      <w:autoSpaceDE/>
      <w:autoSpaceDN/>
      <w:spacing w:after="120"/>
      <w:ind w:left="283"/>
    </w:pPr>
    <w:rPr>
      <w:sz w:val="16"/>
      <w:szCs w:val="16"/>
    </w:rPr>
  </w:style>
  <w:style w:type="character" w:customStyle="1" w:styleId="30">
    <w:name w:val="Body Text Indent 3 Char"/>
    <w:basedOn w:val="a0"/>
    <w:link w:val="3"/>
    <w:rsid w:val="004D23F1"/>
    <w:rPr>
      <w:rFonts w:ascii="Times New Roman" w:eastAsia="Times New Roman" w:hAnsi="Times New Roman" w:cs="Times New Roman"/>
      <w:sz w:val="16"/>
      <w:szCs w:val="16"/>
      <w:lang w:eastAsia="ru-RU"/>
    </w:rPr>
  </w:style>
  <w:style w:type="paragraph" w:customStyle="1" w:styleId="NormalPrefix">
    <w:name w:val="Normal Prefix"/>
    <w:link w:val="NormalPrefix0"/>
    <w:rsid w:val="004D23F1"/>
    <w:pPr>
      <w:widowControl w:val="0"/>
      <w:autoSpaceDE w:val="0"/>
      <w:autoSpaceDN w:val="0"/>
      <w:adjustRightInd w:val="0"/>
      <w:spacing w:before="200" w:after="40" w:line="240" w:lineRule="auto"/>
    </w:pPr>
    <w:rPr>
      <w:rFonts w:ascii="Times New Roman" w:eastAsia="Calibri" w:hAnsi="Times New Roman" w:cs="Times New Roman"/>
      <w:lang w:eastAsia="ru-RU"/>
    </w:rPr>
  </w:style>
  <w:style w:type="paragraph" w:customStyle="1" w:styleId="BodyTextbt">
    <w:name w:val="Body Text.bt"/>
    <w:basedOn w:val="a"/>
    <w:rsid w:val="004D23F1"/>
    <w:pPr>
      <w:jc w:val="both"/>
    </w:pPr>
    <w:rPr>
      <w:rFonts w:eastAsia="Calibri"/>
      <w:b/>
      <w:bCs/>
      <w:i/>
      <w:iCs/>
      <w:sz w:val="22"/>
      <w:szCs w:val="22"/>
    </w:rPr>
  </w:style>
  <w:style w:type="character" w:customStyle="1" w:styleId="NormalPrefix0">
    <w:name w:val="Normal Prefix Знак"/>
    <w:link w:val="NormalPrefix"/>
    <w:locked/>
    <w:rsid w:val="004D23F1"/>
    <w:rPr>
      <w:rFonts w:ascii="Times New Roman" w:eastAsia="Calibri" w:hAnsi="Times New Roman" w:cs="Times New Roman"/>
      <w:lang w:eastAsia="ru-RU"/>
    </w:rPr>
  </w:style>
  <w:style w:type="paragraph" w:customStyle="1" w:styleId="prilozhenie">
    <w:name w:val="prilozhenie"/>
    <w:basedOn w:val="a"/>
    <w:rsid w:val="003337CA"/>
    <w:pPr>
      <w:autoSpaceDE/>
      <w:autoSpaceDN/>
      <w:ind w:firstLine="709"/>
      <w:jc w:val="both"/>
    </w:pPr>
    <w:rPr>
      <w:sz w:val="24"/>
      <w:szCs w:val="24"/>
      <w:lang w:eastAsia="en-US"/>
    </w:rPr>
  </w:style>
  <w:style w:type="paragraph" w:styleId="2">
    <w:name w:val="Body Text Indent 2"/>
    <w:basedOn w:val="a"/>
    <w:link w:val="20"/>
    <w:semiHidden/>
    <w:unhideWhenUsed/>
    <w:rsid w:val="003337CA"/>
    <w:pPr>
      <w:autoSpaceDE/>
      <w:autoSpaceDN/>
      <w:spacing w:after="120" w:line="480" w:lineRule="auto"/>
      <w:ind w:left="283"/>
    </w:pPr>
  </w:style>
  <w:style w:type="character" w:customStyle="1" w:styleId="20">
    <w:name w:val="Body Text Indent 2 Char"/>
    <w:basedOn w:val="a0"/>
    <w:link w:val="2"/>
    <w:semiHidden/>
    <w:rsid w:val="003337CA"/>
    <w:rPr>
      <w:rFonts w:ascii="Times New Roman" w:eastAsia="Times New Roman" w:hAnsi="Times New Roman" w:cs="Times New Roman"/>
      <w:sz w:val="20"/>
      <w:szCs w:val="20"/>
      <w:lang w:eastAsia="ru-RU"/>
    </w:rPr>
  </w:style>
  <w:style w:type="paragraph" w:customStyle="1" w:styleId="10">
    <w:name w:val="Неформальный1"/>
    <w:rsid w:val="003337CA"/>
    <w:pPr>
      <w:spacing w:before="60" w:after="60" w:line="240" w:lineRule="auto"/>
    </w:pPr>
    <w:rPr>
      <w:rFonts w:ascii="Times New Roman" w:eastAsia="Times New Roman" w:hAnsi="Times New Roman" w:cs="Times New Roman"/>
      <w:noProof/>
      <w:sz w:val="20"/>
      <w:szCs w:val="20"/>
      <w:lang w:eastAsia="ru-RU"/>
    </w:rPr>
  </w:style>
  <w:style w:type="paragraph" w:customStyle="1" w:styleId="11">
    <w:name w:val="Стиль Абзаца 1"/>
    <w:basedOn w:val="2"/>
    <w:rsid w:val="003337CA"/>
    <w:pPr>
      <w:snapToGrid w:val="0"/>
      <w:spacing w:before="120" w:after="0" w:line="240" w:lineRule="auto"/>
      <w:ind w:left="0" w:firstLine="851"/>
      <w:jc w:val="both"/>
    </w:pPr>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seis.ru/default.aspx" TargetMode="External"/><Relationship Id="rId3" Type="http://schemas.openxmlformats.org/officeDocument/2006/relationships/settings" Target="settings.xml"/><Relationship Id="rId7" Type="http://schemas.openxmlformats.org/officeDocument/2006/relationships/hyperlink" Target="http://www.e-disclosure.ru/portal/company.aspx?id=2052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1355</Words>
  <Characters>7725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VTB Capital</Company>
  <LinksUpToDate>false</LinksUpToDate>
  <CharactersWithSpaces>9062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ATronina</dc:creator>
  <cp:lastModifiedBy>Будёновская Елена Михайловна</cp:lastModifiedBy>
  <cp:revision>10</cp:revision>
  <dcterms:created xsi:type="dcterms:W3CDTF">2014-03-05T13:42:00Z</dcterms:created>
  <dcterms:modified xsi:type="dcterms:W3CDTF">2014-03-12T12:55:00Z</dcterms:modified>
</cp:coreProperties>
</file>